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86584"/>
          <w:sz w:val="44"/>
        </w:rPr>
        <w:t>Strategisches Konzept — Leonie Kaiser · KI- &amp; Business-Consulting</w:t>
      </w:r>
    </w:p>
    <w:p/>
    <w:p>
      <w:r>
        <w:t>Internes Arbeitsdokument. Konsolidiert aus AGENTS.md (Brand Voice, kanonisch),</w:t>
      </w:r>
    </w:p>
    <w:p>
      <w:r>
        <w:t>Positionierung, Silicon-Sampling (Praxen, Solo, Pharma-KMU — synthetisch),</w:t>
      </w:r>
    </w:p>
    <w:p>
      <w:r>
        <w:t xml:space="preserve">Angebotsvorschläge, LinkedIn-Laufbahn. </w:t>
      </w:r>
      <w:r>
        <w:rPr>
          <w:b/>
        </w:rPr>
        <w:t>Stand: 2026-07-19.</w:t>
      </w:r>
    </w:p>
    <w:p/>
    <w:p>
      <w:r>
        <w:t>Preiszahlen sind synthetische Orientierungs-Korridore (Silicon Sampling / ESOMAR ICC</w:t>
      </w:r>
    </w:p>
    <w:p>
      <w:r>
        <w:t>Code 2025) und mit echten Kundengesprächen zu validieren.</w:t>
      </w:r>
    </w:p>
    <w:p/>
    <w:p>
      <w:pPr>
        <w:ind w:left="432"/>
      </w:pPr>
      <w:r>
        <w:rPr>
          <w:b/>
          <w:i/>
          <w:color w:val="5B6572"/>
        </w:rPr>
        <w:t>Update 2026-07-19 — Zwei-Track-Strategie.</w:t>
      </w:r>
      <w:r>
        <w:rPr>
          <w:i/>
          <w:color w:val="5B6572"/>
        </w:rPr>
        <w:t xml:space="preserve"> Neu gegenüber dem Stand 07-07: Die</w:t>
      </w:r>
    </w:p>
    <w:p>
      <w:pPr>
        <w:ind w:left="432"/>
      </w:pPr>
      <w:r>
        <w:rPr>
          <w:i/>
          <w:color w:val="5B6572"/>
        </w:rPr>
        <w:t>Laufbahn-Analyse (10+ Jahre Merck / AbbVie / Baxter / KED, Digital Transformation</w:t>
      </w:r>
    </w:p>
    <w:p>
      <w:pPr>
        <w:ind w:left="432"/>
      </w:pPr>
      <w:r>
        <w:rPr>
          <w:i/>
          <w:color w:val="5B6572"/>
        </w:rPr>
        <w:t>in regulierter Pharma) hat einen zweiten, hochwertigen Track sichtbar gemacht:</w:t>
      </w:r>
    </w:p>
    <w:p>
      <w:pPr>
        <w:ind w:left="432"/>
      </w:pPr>
      <w:r>
        <w:rPr>
          <w:b/>
          <w:i/>
          <w:color w:val="5B6572"/>
        </w:rPr>
        <w:t>Pharma- &amp; Gesundheits-KMU (10–50 MA)</w:t>
      </w:r>
      <w:r>
        <w:rPr>
          <w:i/>
          <w:color w:val="5B6572"/>
        </w:rPr>
        <w:t>. Solo-/Einzelunternehmer sind bewusst</w:t>
      </w:r>
    </w:p>
    <w:p>
      <w:pPr>
        <w:ind w:left="432"/>
      </w:pPr>
      <w:r>
        <w:rPr>
          <w:b/>
          <w:i/>
          <w:color w:val="5B6572"/>
        </w:rPr>
        <w:t>raus</w:t>
      </w:r>
      <w:r>
        <w:rPr>
          <w:i/>
          <w:color w:val="5B6572"/>
        </w:rPr>
        <w:t>. Kern-Track bleiben die kleinen Gesundheitspraxen; der KMU-Track läuft</w:t>
      </w:r>
    </w:p>
    <w:p>
      <w:pPr>
        <w:ind w:left="432"/>
      </w:pPr>
      <w:r>
        <w:rPr>
          <w:i/>
          <w:color w:val="5B6572"/>
        </w:rPr>
        <w:t>parallel über das warme Netzwerk. Details: Kapitel 9–11.</w:t>
      </w:r>
    </w:p>
    <w:p/>
    <w:p/>
    <w:p>
      <w:r>
        <w:rPr>
          <w:b/>
          <w:color w:val="086584"/>
          <w:sz w:val="32"/>
        </w:rPr>
        <w:t>1. Kurzfassung</w:t>
      </w:r>
    </w:p>
    <w:p/>
    <w:p>
      <w:r>
        <w:t xml:space="preserve">KI- und Business-Consultant für den DACH-Gesundheitsmarkt, in </w:t>
      </w:r>
      <w:r>
        <w:rPr>
          <w:b/>
        </w:rPr>
        <w:t>zwei Tracks</w:t>
      </w:r>
      <w:r>
        <w:t>:</w:t>
      </w:r>
    </w:p>
    <w:p/>
    <w:p>
      <w:pPr>
        <w:pStyle w:val="ListBullet"/>
        <w:ind w:left="360"/>
      </w:pPr>
      <w:r>
        <w:rPr>
          <w:b/>
        </w:rPr>
        <w:t>Track A — Kern (jetzt):</w:t>
      </w:r>
      <w:r>
        <w:t xml:space="preserve"> kleine, inhabergeführte Gesundheits- und</w:t>
      </w:r>
    </w:p>
    <w:p>
      <w:r>
        <w:t xml:space="preserve">  Behandlungsbetriebe (Wahlarzt / privat / Selbstzahler), 2–15 (max. ~30) MA.</w:t>
      </w:r>
    </w:p>
    <w:p>
      <w:r>
        <w:t xml:space="preserve">  Schneller Weg zu ersten Referenzen; deckt sich mit Website und Brand Voice.</w:t>
      </w:r>
    </w:p>
    <w:p>
      <w:pPr>
        <w:pStyle w:val="ListBullet"/>
        <w:ind w:left="360"/>
      </w:pPr>
      <w:r>
        <w:rPr>
          <w:b/>
        </w:rPr>
        <w:t>Track B — Hebel (parallel, warm):</w:t>
      </w:r>
      <w:r>
        <w:t xml:space="preserve"> Pharma- &amp; Gesundheits-KMU (10–50 MA) im</w:t>
      </w:r>
    </w:p>
    <w:p>
      <w:r>
        <w:t xml:space="preserve">  DACH-Raum. Hier liegt der eigentliche Wettbewerbsvorsprung aus der Laufbahn —</w:t>
      </w:r>
    </w:p>
    <w:p>
      <w:r>
        <w:t xml:space="preserve">  hohes Ticket, harter Fachfilter, den fast nur Leonie mühelos passiert.</w:t>
      </w:r>
    </w:p>
    <w:p/>
    <w:p>
      <w:r>
        <w:t>Kern-Nutzenversprechen (beide Tracks): mehr Zeit fürs Kerngeschäft, reibungslose</w:t>
      </w:r>
    </w:p>
    <w:p>
      <w:r>
        <w:t xml:space="preserve">Abläufe, </w:t>
      </w:r>
      <w:r>
        <w:rPr>
          <w:b/>
        </w:rPr>
        <w:t>Datenschutz/Compliance als Ausgangspunkt, nicht als Behauptung</w:t>
      </w:r>
      <w:r>
        <w:t>. KI ist</w:t>
      </w:r>
    </w:p>
    <w:p>
      <w:r>
        <w:t>Mittel zum Zweck — die Arbeit beginnt bei den Prozessen, nicht beim Tool.</w:t>
      </w:r>
    </w:p>
    <w:p/>
    <w:p>
      <w:r>
        <w:rPr>
          <w:b/>
        </w:rPr>
        <w:t>Aktueller Stand:</w:t>
      </w:r>
      <w:r>
        <w:t xml:space="preserve"> noch keine Kunden. Fokus der ersten Phase: 1–2 echte Fälle mit</w:t>
      </w:r>
    </w:p>
    <w:p>
      <w:r>
        <w:t>Zahlen und Referenzen je Track (siehe Kapitel 7 + 11).</w:t>
      </w:r>
    </w:p>
    <w:p/>
    <w:p>
      <w:r>
        <w:rPr>
          <w:b/>
        </w:rPr>
        <w:t>Solopreneurs/Einzelunternehmer bewusst raus</w:t>
      </w:r>
      <w:r>
        <w:t xml:space="preserve"> — nicht wegen der Klickrate (die</w:t>
      </w:r>
    </w:p>
    <w:p>
      <w:r>
        <w:t>1,1/10 aus der Solo-Studie war ein Framing-Artefakt), sondern strukturell: knappes</w:t>
      </w:r>
    </w:p>
    <w:p>
      <w:r>
        <w:t>Budget, das Zeit-Paradox (wer keine Minute hat, kann kein Projekt begleiten),</w:t>
      </w:r>
    </w:p>
    <w:p>
      <w:r>
        <w:t>schwacher ROI bei einer Einzelperson, und Leonies Laufbahn-Moat verpufft dort.</w:t>
      </w:r>
    </w:p>
    <w:p/>
    <w:p>
      <w:r>
        <w:t>Drei tragende Säulen (gelten für beide Tracks):</w:t>
      </w:r>
    </w:p>
    <w:p/>
    <w:p>
      <w:pPr>
        <w:pStyle w:val="ListNumber"/>
      </w:pPr>
      <w:r>
        <w:rPr>
          <w:b/>
        </w:rPr>
        <w:t>Produktisieren statt beraten</w:t>
      </w:r>
      <w:r>
        <w:t xml:space="preserve"> — klare Pakete mit benannten Ergebnissen.</w:t>
      </w:r>
    </w:p>
    <w:p>
      <w:pPr>
        <w:pStyle w:val="ListNumber"/>
      </w:pPr>
      <w:r>
        <w:rPr>
          <w:b/>
        </w:rPr>
        <w:t>Branchenspezifisch statt Generalist</w:t>
      </w:r>
      <w:r>
        <w:t xml:space="preserve"> — Referenzen aus der jeweiligen Welt sind</w:t>
      </w:r>
    </w:p>
    <w:p>
      <w:r>
        <w:t xml:space="preserve">   der stärkste Vertrauensanker. (Im KMU-Track ist das die eigentliche Eintrittskarte.)</w:t>
      </w:r>
    </w:p>
    <w:p>
      <w:pPr>
        <w:pStyle w:val="ListNumber"/>
      </w:pPr>
      <w:r>
        <w:rPr>
          <w:b/>
        </w:rPr>
        <w:t>Datenschutz/Compliance als Haltung, nicht als Behauptung</w:t>
      </w:r>
      <w:r>
        <w:t xml:space="preserve"> — bei Gesundheits-</w:t>
      </w:r>
    </w:p>
    <w:p>
      <w:r>
        <w:t xml:space="preserve">   und regulierten Daten der Ausgangspunkt; sichtbar belegt, nicht behauptet.</w:t>
      </w:r>
    </w:p>
    <w:p/>
    <w:p/>
    <w:p>
      <w:r>
        <w:rPr>
          <w:b/>
          <w:color w:val="086584"/>
          <w:sz w:val="32"/>
        </w:rPr>
        <w:t>2. Positionierung &amp; Haltung</w:t>
      </w:r>
    </w:p>
    <w:p/>
    <w:p>
      <w:r>
        <w:rPr>
          <w:b/>
        </w:rPr>
        <w:t>Mission:</w:t>
      </w:r>
      <w:r>
        <w:t xml:space="preserve"> Betriebsleitungen ihren Betrieb zurückgeben, damit wieder sie führen</w:t>
      </w:r>
    </w:p>
    <w:p>
      <w:r>
        <w:t>statt zu verwalten. Datenschutzkonforme Abläufe, die Termine, Aufnahme und</w:t>
      </w:r>
    </w:p>
    <w:p>
      <w:r>
        <w:t>wiederkehrende Verwaltung übernehmen — der Betrieb läuft, ohne dass die Leitung der</w:t>
      </w:r>
    </w:p>
    <w:p>
      <w:r>
        <w:t>Flaschenhals ist.</w:t>
      </w:r>
    </w:p>
    <w:p/>
    <w:p>
      <w:r>
        <w:rPr>
          <w:b/>
        </w:rPr>
        <w:t>Anti-Mission:</w:t>
      </w:r>
      <w:r>
        <w:t xml:space="preserve"> gegen „schnell und einfach", gegen „Tool rein, fertig", gegen KI</w:t>
      </w:r>
    </w:p>
    <w:p>
      <w:r>
        <w:t>als Buzzword, gegen Angst-/Funnel-Marketing, gegen bequemen Umgang mit sensiblen</w:t>
      </w:r>
    </w:p>
    <w:p>
      <w:r>
        <w:t>Daten. Kurz: kein Wunder, sondern Arbeit, die sich auszahlt.</w:t>
      </w:r>
    </w:p>
    <w:p/>
    <w:p>
      <w:r>
        <w:rPr>
          <w:b/>
        </w:rPr>
        <w:t>Wen wir NICHT bedienen:</w:t>
      </w:r>
      <w:r>
        <w:t xml:space="preserve"> reine Hochvolumen-Kassen-Akutmedizin (ohne Privatanteil,</w:t>
      </w:r>
    </w:p>
    <w:p>
      <w:r>
        <w:t>ohne Veränderungsbereitschaft), Zahnärzte, Kliniken, Apotheken, Pflege, klinische</w:t>
      </w:r>
    </w:p>
    <w:p>
      <w:r>
        <w:t xml:space="preserve">Psychotherapie/Psychiatrie, </w:t>
      </w:r>
      <w:r>
        <w:rPr>
          <w:b/>
        </w:rPr>
        <w:t>große Pharma-/Medizinkonzerne</w:t>
      </w:r>
      <w:r>
        <w:t xml:space="preserve"> (Track B zielt</w:t>
      </w:r>
    </w:p>
    <w:p>
      <w:r>
        <w:t xml:space="preserve">ausdrücklich auf </w:t>
      </w:r>
      <w:r>
        <w:rPr>
          <w:b/>
        </w:rPr>
        <w:t>KMU</w:t>
      </w:r>
      <w:r>
        <w:t xml:space="preserve"> 10–50 MA, nicht auf Konzerne), Datenschutz-Ignorierer,</w:t>
      </w:r>
    </w:p>
    <w:p>
      <w:r>
        <w:t xml:space="preserve">„Tool-rein-fertig"-Gläubige, </w:t>
      </w:r>
      <w:r>
        <w:rPr>
          <w:b/>
        </w:rPr>
        <w:t>Solo-/Einzelunternehmer ohne Team</w:t>
      </w:r>
      <w:r>
        <w:t>.</w:t>
      </w:r>
    </w:p>
    <w:p/>
    <w:p>
      <w:r>
        <w:rPr>
          <w:b/>
        </w:rPr>
        <w:t>Entscheidungs-Test (Track A):</w:t>
      </w:r>
      <w:r>
        <w:t xml:space="preserve"> Konkurriert der Betrieb übers Erlebnis, hat Marge</w:t>
      </w:r>
    </w:p>
    <w:p>
      <w:r>
        <w:t>und will etwas verändern? → drin. Reine Hochvolumen-Kasse ohne Privatanteil? → raus.</w:t>
      </w:r>
    </w:p>
    <w:p/>
    <w:p/>
    <w:p>
      <w:r>
        <w:rPr>
          <w:b/>
          <w:color w:val="086584"/>
          <w:sz w:val="32"/>
        </w:rPr>
        <w:t>3. Zielgruppe &amp; Markt — Track A (Kern: kleine Gesundheitspraxen)</w:t>
      </w:r>
    </w:p>
    <w:p/>
    <w:p>
      <w:r>
        <w:rPr>
          <w:b/>
        </w:rPr>
        <w:t>Datenbasis-Hinweis:</w:t>
      </w:r>
      <w:r>
        <w:t xml:space="preserve"> Zahlen aus synthetischer Marktforschung (Silicon Sampling,</w:t>
      </w:r>
    </w:p>
    <w:p>
      <w:r>
        <w:t>KI-Personas, ESOMAR ICC Code 2025) — Hypothesen, keine echten Befragungen. Vor</w:t>
      </w:r>
    </w:p>
    <w:p>
      <w:r>
        <w:t>größeren Entscheidungen mit 10–20 realen Interviews je Segment validieren.</w:t>
      </w:r>
    </w:p>
    <w:p/>
    <w:p>
      <w:r>
        <w:rPr>
          <w:b/>
        </w:rPr>
        <w:t>Der Schirm (ändert sich nie):</w:t>
      </w:r>
      <w:r>
        <w:t xml:space="preserve"> Ich helfe kleinen, inhabergeführten Gesundheits-</w:t>
      </w:r>
    </w:p>
    <w:p>
      <w:r>
        <w:t>und Behandlungsbetrieben (Wahlarzt / privat / Selbstzahler), die mit sensiblen</w:t>
      </w:r>
    </w:p>
    <w:p>
      <w:r>
        <w:t>Gesundheitsdaten arbeiten und keine IT-Abteilung haben, ihren Alltag zu entlasten.</w:t>
      </w:r>
    </w:p>
    <w:p/>
    <w:p>
      <w:r>
        <w:rPr>
          <w:b/>
        </w:rPr>
        <w:t>5 Anker-Kriterien (alle müssen passen):</w:t>
      </w:r>
      <w:r>
        <w:t xml:space="preserve"> inhabergeführt · klein (2–15, max. ~30 MA)</w:t>
      </w:r>
    </w:p>
    <w:p>
      <w:r>
        <w:t>· sensible Gesundheitsdaten (DSGVO Art. 9 — der Burggraben) · keine IT-Abteilung ·</w:t>
      </w:r>
    </w:p>
    <w:p>
      <w:r>
        <w:t>lebt (auch) von Wahlarzt-/Privat-/Selbstzahler-Kundschaft und konkurriert übers</w:t>
      </w:r>
    </w:p>
    <w:p>
      <w:r>
        <w:t>Erlebnis.</w:t>
      </w:r>
    </w:p>
    <w:p/>
    <w:p>
      <w:r>
        <w:rPr>
          <w:b/>
        </w:rPr>
        <w:t>Start-Segmente (Track A):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Seite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deckt mit ab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Segment-Twist</w:t>
            </w:r>
          </w:p>
        </w:tc>
      </w:tr>
      <w:tr>
        <w:tc>
          <w:tcPr>
            <w:tcW w:type="dxa" w:w="2880"/>
          </w:tcPr>
          <w:p>
            <w:r>
              <w:t>Therapie- &amp; Bewegungspraxen (Physio als Aushängeschild)</w:t>
            </w:r>
          </w:p>
        </w:tc>
        <w:tc>
          <w:tcPr>
            <w:tcW w:type="dxa" w:w="2880"/>
          </w:tcPr>
          <w:p>
            <w:r>
              <w:t>Ergo, Osteopathie, Podologie</w:t>
            </w:r>
          </w:p>
        </w:tc>
        <w:tc>
          <w:tcPr>
            <w:tcW w:type="dxa" w:w="2880"/>
          </w:tcPr>
          <w:p>
            <w:r>
              <w:t>Serientermine/Recall, Verordnung, Sport-Nachsorge</w:t>
            </w:r>
          </w:p>
        </w:tc>
      </w:tr>
      <w:tr>
        <w:tc>
          <w:tcPr>
            <w:tcW w:type="dxa" w:w="2880"/>
          </w:tcPr>
          <w:p>
            <w:r>
              <w:t>Longevity &amp; Medical-Wellness</w:t>
            </w:r>
          </w:p>
        </w:tc>
        <w:tc>
          <w:tcPr>
            <w:tcW w:type="dxa" w:w="2880"/>
          </w:tcPr>
          <w:p>
            <w:r>
              <w:t>Präventionsmedizin</w:t>
            </w:r>
          </w:p>
        </w:tc>
        <w:tc>
          <w:tcPr>
            <w:tcW w:type="dxa" w:w="2880"/>
          </w:tcPr>
          <w:p>
            <w:r>
              <w:t>Multi-Tool-Kundenreise, Laborwerte, Retention (Premium)</w:t>
            </w:r>
          </w:p>
        </w:tc>
      </w:tr>
      <w:tr>
        <w:tc>
          <w:tcPr>
            <w:tcW w:type="dxa" w:w="2880"/>
          </w:tcPr>
          <w:p>
            <w:r>
              <w:t>Ernährungsberatung / Diätologie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wiederkehrende Protokolle/Pläne, Sichtbarkeit/Content</w:t>
            </w:r>
          </w:p>
        </w:tc>
      </w:tr>
    </w:tbl>
    <w:p/>
    <w:p/>
    <w:p>
      <w:r>
        <w:t xml:space="preserve">Ästhetik/Medical-Beauty bewusst </w:t>
      </w:r>
      <w:r>
        <w:rPr>
          <w:b/>
        </w:rPr>
        <w:t>nicht</w:t>
      </w:r>
      <w:r>
        <w:t xml:space="preserve"> als Start-Seite (kippt Richtung „Beauty",</w:t>
      </w:r>
    </w:p>
    <w:p>
      <w:r>
        <w:t>schwächt den Gesundheitsdaten-Anker). Bleibt über Blog/Einzelanfragen erreichbar.</w:t>
      </w:r>
    </w:p>
    <w:p/>
    <w:p>
      <w:r>
        <w:rPr>
          <w:b/>
        </w:rPr>
        <w:t>Preis-Orientierung Track A (synthetisch):</w:t>
      </w:r>
      <w:r>
        <w:t xml:space="preserve"> Einmalprojekt ~1.500–3.700 € ·</w:t>
      </w:r>
    </w:p>
    <w:p>
      <w:r>
        <w:t>Retainer ~200–500 €/Monat. Quick-Win am unteren Rand ansetzen.</w:t>
      </w:r>
    </w:p>
    <w:p/>
    <w:p>
      <w:r>
        <w:rPr>
          <w:b/>
        </w:rPr>
        <w:t>Archetyp „Martina, 47":</w:t>
      </w:r>
      <w:r>
        <w:t xml:space="preserve"> Inhaberin einer Privat-/Präventions-Physiopraxis mit fünf</w:t>
      </w:r>
    </w:p>
    <w:p>
      <w:r>
        <w:t>Mitarbeitenden. Kennt KI vom Hörensagen, entscheidet schnell bei klarem Nutzen +</w:t>
      </w:r>
    </w:p>
    <w:p>
      <w:r>
        <w:t>überschaubarem Aufwand, Datenschutz sehr wichtig, lebt von privat zahlender Kundschaft.</w:t>
      </w:r>
    </w:p>
    <w:p/>
    <w:p>
      <w:r>
        <w:rPr>
          <w:b/>
        </w:rPr>
        <w:t>Der homogene Kern-Schmerz</w:t>
      </w:r>
      <w:r>
        <w:t xml:space="preserve"> (~90 % identisch über alle Behandlungsbetriebe — einmal</w:t>
      </w:r>
    </w:p>
    <w:p>
      <w:r>
        <w:t>bauen, überall wiederverwenden):</w:t>
      </w:r>
    </w:p>
    <w:p/>
    <w:p>
      <w:pPr>
        <w:pStyle w:val="ListNumber"/>
      </w:pPr>
      <w:r>
        <w:t>Termin-Engpass — Anfragen bleiben liegen, No-Shows, Lücken kosten Umsatz</w:t>
      </w:r>
    </w:p>
    <w:p>
      <w:pPr>
        <w:pStyle w:val="ListNumber"/>
      </w:pPr>
      <w:r>
        <w:t>Doku frisst die Abende</w:t>
      </w:r>
    </w:p>
    <w:p>
      <w:pPr>
        <w:pStyle w:val="ListNumber"/>
      </w:pPr>
      <w:r>
        <w:t>Nachsorge/Recall fällt hinten runter — Stammkundschaft geht verloren</w:t>
      </w:r>
    </w:p>
    <w:p>
      <w:pPr>
        <w:pStyle w:val="ListNumber"/>
      </w:pPr>
      <w:r>
        <w:t>Die Leitung ist der Flaschenhals (Behandlung + Führung + Verwaltung in einer Person)</w:t>
      </w:r>
    </w:p>
    <w:p>
      <w:pPr>
        <w:pStyle w:val="ListNumber"/>
      </w:pPr>
      <w:r>
        <w:t>Sensible Gesundheitsdaten (DSGVO Art. 9)</w:t>
      </w:r>
    </w:p>
    <w:p/>
    <w:p>
      <w:r>
        <w:t>Datenschutz: in allen Segmenten die maximale Hürde — emotional und vertrauensbasiert.</w:t>
      </w:r>
    </w:p>
    <w:p>
      <w:r>
        <w:t>„Datenschutzkonform" als bloße Behauptung erhöht das Misstrauen; es braucht Nachweise</w:t>
      </w:r>
    </w:p>
    <w:p>
      <w:r>
        <w:t>(AV-Verträge, EU-Hosting, Referenzen, klare Haftungs-Antwort).</w:t>
      </w:r>
    </w:p>
    <w:p/>
    <w:p/>
    <w:p>
      <w:r>
        <w:rPr>
          <w:b/>
          <w:color w:val="086584"/>
          <w:sz w:val="32"/>
        </w:rPr>
        <w:t>4. Brand &amp; Sprache</w:t>
      </w:r>
    </w:p>
    <w:p/>
    <w:p>
      <w:r>
        <w:t>AGENTS.md ist kanonisch. Tonalität: Sie-Form, warm, ruhig, strukturiert, souverän;</w:t>
      </w:r>
    </w:p>
    <w:p>
      <w:r>
        <w:t>bodenständig, nie esoterisch/hype-ig.</w:t>
      </w:r>
    </w:p>
    <w:p/>
    <w:p>
      <w:r>
        <w:rPr>
          <w:b/>
        </w:rPr>
        <w:t>Gendern-Regel:</w:t>
      </w:r>
      <w:r>
        <w:t xml:space="preserve"> Neutrale Form + Paarform, keine Sonderzeichen (kein Doppelpunkt,</w:t>
      </w:r>
    </w:p>
    <w:p>
      <w:r>
        <w:t>kein Sternchen). Zielgruppe reagiert allergisch auf alles, was nach Pose/Trend aussieht.</w:t>
      </w:r>
    </w:p>
    <w:p/>
    <w:p>
      <w:r>
        <w:rPr>
          <w:b/>
        </w:rPr>
        <w:t>SEO-Regel „kein Wien":</w:t>
      </w:r>
      <w:r>
        <w:t xml:space="preserve"> In SEO-Metadaten und Marketing-Texten kein „Wien" (Leonie</w:t>
      </w:r>
    </w:p>
    <w:p>
      <w:r>
        <w:t>ist aus Niederösterreich, Nische ist DACH-weit). Stattdessen „Niederösterreich" bzw.</w:t>
      </w:r>
    </w:p>
    <w:p>
      <w:r>
        <w:t>„Österreich/DACH". Ausnahme: rechtliche Pflichtangaben.</w:t>
      </w:r>
    </w:p>
    <w:p/>
    <w:p>
      <w:r>
        <w:rPr>
          <w:b/>
        </w:rPr>
        <w:t>Leitmotiv &amp; CTA:</w:t>
      </w:r>
      <w:r>
        <w:t xml:space="preserve"> Leitmotiv „Chaos reduzieren". Ein CTA pro Seite: kostenlose</w:t>
      </w:r>
    </w:p>
    <w:p>
      <w:r>
        <w:t>30-Min-KI-Potenzialanalyse via Calendly — flankiert mit konkretem, branchenspezifischem</w:t>
      </w:r>
    </w:p>
    <w:p>
      <w:r>
        <w:t>Ergebnis + Referenz, nie mit „kostenlos, kein Verkaufsgespräch".</w:t>
      </w:r>
    </w:p>
    <w:p/>
    <w:p>
      <w:pPr>
        <w:ind w:left="432"/>
      </w:pPr>
      <w:r>
        <w:rPr>
          <w:b/>
          <w:i/>
          <w:color w:val="5B6572"/>
        </w:rPr>
        <w:t>Hinweis Track B:</w:t>
      </w:r>
      <w:r>
        <w:rPr>
          <w:i/>
          <w:color w:val="5B6572"/>
        </w:rPr>
        <w:t xml:space="preserve"> Der KMU-Track braucht einen </w:t>
      </w:r>
      <w:r>
        <w:rPr>
          <w:b/>
          <w:i/>
          <w:color w:val="5B6572"/>
        </w:rPr>
        <w:t>sachlicheren</w:t>
      </w:r>
      <w:r>
        <w:rPr>
          <w:i/>
          <w:color w:val="5B6572"/>
        </w:rPr>
        <w:t xml:space="preserve"> Register als die</w:t>
      </w:r>
    </w:p>
    <w:p>
      <w:pPr>
        <w:ind w:left="432"/>
      </w:pPr>
      <w:r>
        <w:rPr>
          <w:i/>
          <w:color w:val="5B6572"/>
        </w:rPr>
        <w:t>warme „Martina"-Ansprache (B2B-Gremien, Regulatorik, Haftung). Die Brand Voice</w:t>
      </w:r>
    </w:p>
    <w:p>
      <w:pPr>
        <w:ind w:left="432"/>
      </w:pPr>
      <w:r>
        <w:rPr>
          <w:i/>
          <w:color w:val="5B6572"/>
        </w:rPr>
        <w:t>bleibt kanonisch, die KMU-Kommunikation läuft aber zunächst 1:1 übers Netzwerk und</w:t>
      </w:r>
    </w:p>
    <w:p>
      <w:pPr>
        <w:ind w:left="432"/>
      </w:pPr>
      <w:r>
        <w:rPr>
          <w:i/>
          <w:color w:val="5B6572"/>
        </w:rPr>
        <w:t>LinkedIn, nicht über die Praxis-Website (siehe Kapitel 9).</w:t>
      </w:r>
    </w:p>
    <w:p/>
    <w:p/>
    <w:p>
      <w:r>
        <w:rPr>
          <w:b/>
          <w:color w:val="086584"/>
          <w:sz w:val="32"/>
        </w:rPr>
        <w:t>5. Angebote &amp; Preise</w:t>
      </w:r>
    </w:p>
    <w:p/>
    <w:p>
      <w:r>
        <w:t>Angebots-Architektur (beide Tracks, Ticket unterschiedlich): KI-Potenzialanalyse</w:t>
      </w:r>
    </w:p>
    <w:p>
      <w:r>
        <w:t>(Einstieg) → Pilot / erster Quick-Win → Automatisierungs-Projekt → laufende Betreuung</w:t>
      </w:r>
    </w:p>
    <w:p>
      <w:r>
        <w:t>(Retainer).</w:t>
      </w:r>
    </w:p>
    <w:p/>
    <w:p>
      <w:pPr>
        <w:pStyle w:val="ListNumber"/>
      </w:pPr>
      <w:r>
        <w:rPr>
          <w:b/>
        </w:rPr>
        <w:t>KI-Potenzialanalyse</w:t>
      </w:r>
      <w:r>
        <w:t xml:space="preserve"> — 30-Min-Videocall, Ist-Zustand + Zeitfresser +</w:t>
      </w:r>
    </w:p>
    <w:p>
      <w:r>
        <w:t xml:space="preserve">   Datenschutz, 1–3 Quick-Win-Ideen, ehrliche Einschätzung. Kostenfrei.</w:t>
      </w:r>
    </w:p>
    <w:p>
      <w:pPr>
        <w:pStyle w:val="ListNumber"/>
      </w:pPr>
      <w:r>
        <w:rPr>
          <w:b/>
        </w:rPr>
        <w:t>Pilot-Angebot (nur die ersten Kunden)</w:t>
      </w:r>
      <w:r>
        <w:t xml:space="preserve"> — ein fertig eingerichteter Quick-Win,</w:t>
      </w:r>
    </w:p>
    <w:p>
      <w:r>
        <w:t xml:space="preserve">   kostenfrei/reduziert gegen Feedback, Testimonial und Zahlen-Erlaubnis.</w:t>
      </w:r>
    </w:p>
    <w:p>
      <w:pPr>
        <w:pStyle w:val="ListNumber"/>
      </w:pPr>
      <w:r>
        <w:rPr>
          <w:b/>
        </w:rPr>
        <w:t>Erster Quick-Win (Fixpaket)</w:t>
      </w:r>
      <w:r>
        <w:t xml:space="preserve"> — ein wiederkehrender Zeitfresser läuft automatisch,</w:t>
      </w:r>
    </w:p>
    <w:p>
      <w:r>
        <w:t xml:space="preserve">   Fixpreis am unteren Korridor-Rand.</w:t>
      </w:r>
    </w:p>
    <w:p>
      <w:pPr>
        <w:pStyle w:val="ListNumber"/>
      </w:pPr>
      <w:r>
        <w:rPr>
          <w:b/>
        </w:rPr>
        <w:t>Automatisierungs-Projekt</w:t>
      </w:r>
      <w:r>
        <w:t xml:space="preserve"> — Analyse → Roadmap → Implementierung →</w:t>
      </w:r>
    </w:p>
    <w:p>
      <w:r>
        <w:t xml:space="preserve">   Team-Einweisung. Einmalprojekt.</w:t>
      </w:r>
    </w:p>
    <w:p>
      <w:pPr>
        <w:pStyle w:val="ListNumber"/>
      </w:pPr>
      <w:r>
        <w:rPr>
          <w:b/>
        </w:rPr>
        <w:t>Laufende Betreuung (Retainer)</w:t>
      </w:r>
      <w:r>
        <w:t xml:space="preserve"> — monatlicher Check-in, Optimierung, fester</w:t>
      </w:r>
    </w:p>
    <w:p>
      <w:r>
        <w:t xml:space="preserve">   Ansprechpartner. Von Anfang an als Vertrauens-Anker.</w:t>
      </w:r>
    </w:p>
    <w:p/>
    <w:p>
      <w:r>
        <w:rPr>
          <w:b/>
        </w:rPr>
        <w:t>Preis-Orientierung (synthetisch, zu validieren):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Track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Einmalprojekt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Retainer/Mo</w:t>
            </w:r>
          </w:p>
        </w:tc>
      </w:tr>
      <w:tr>
        <w:tc>
          <w:tcPr>
            <w:tcW w:type="dxa" w:w="2880"/>
          </w:tcPr>
          <w:p>
            <w:r>
              <w:t>A — kleine Praxen</w:t>
            </w:r>
          </w:p>
        </w:tc>
        <w:tc>
          <w:tcPr>
            <w:tcW w:type="dxa" w:w="2880"/>
          </w:tcPr>
          <w:p>
            <w:r>
              <w:t>~1.500–3.700 €</w:t>
            </w:r>
          </w:p>
        </w:tc>
        <w:tc>
          <w:tcPr>
            <w:tcW w:type="dxa" w:w="2880"/>
          </w:tcPr>
          <w:p>
            <w:r>
              <w:t>~200–500 €</w:t>
            </w:r>
          </w:p>
        </w:tc>
      </w:tr>
      <w:tr>
        <w:tc>
          <w:tcPr>
            <w:tcW w:type="dxa" w:w="2880"/>
          </w:tcPr>
          <w:p>
            <w:r>
              <w:t>B — Pharma-/Gesundheits-KMU</w:t>
            </w:r>
          </w:p>
        </w:tc>
        <w:tc>
          <w:tcPr>
            <w:tcW w:type="dxa" w:w="2880"/>
          </w:tcPr>
          <w:p>
            <w:r>
              <w:t>~7.000–15.000 € (OPP ~12.000 €)</w:t>
            </w:r>
          </w:p>
        </w:tc>
        <w:tc>
          <w:tcPr>
            <w:tcW w:type="dxa" w:w="2880"/>
          </w:tcPr>
          <w:p>
            <w:r>
              <w:t>~600–1.500 €</w:t>
            </w:r>
          </w:p>
        </w:tc>
      </w:tr>
    </w:tbl>
    <w:p/>
    <w:p/>
    <w:p>
      <w:r>
        <w:rPr>
          <w:b/>
        </w:rPr>
        <w:t>Nicht Teil des Angebots:</w:t>
      </w:r>
      <w:r>
        <w:t xml:space="preserve"> kein „schnell &amp; einfach", keine Garantien, keine</w:t>
      </w:r>
    </w:p>
    <w:p>
      <w:r>
        <w:t>Fake-Verknappung; keine sensiblen Daten in billige US-Clouds; keine komplexe KI, wo ein</w:t>
      </w:r>
    </w:p>
    <w:p>
      <w:r>
        <w:t>simpler Ablauf reicht; kein Tool, an dem nur mitverdient wird.</w:t>
      </w:r>
    </w:p>
    <w:p/>
    <w:p/>
    <w:p>
      <w:r>
        <w:rPr>
          <w:b/>
          <w:color w:val="086584"/>
          <w:sz w:val="32"/>
        </w:rPr>
        <w:t>6. Einwandbehandlung (die Zweifel)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Zweifel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Antwort</w:t>
            </w:r>
          </w:p>
        </w:tc>
      </w:tr>
      <w:tr>
        <w:tc>
          <w:tcPr>
            <w:tcW w:type="dxa" w:w="4320"/>
          </w:tcPr>
          <w:p>
            <w:r>
              <w:t>„Der Aufwand bleibt an mir hängen."</w:t>
            </w:r>
          </w:p>
        </w:tc>
        <w:tc>
          <w:tcPr>
            <w:tcW w:type="dxa" w:w="4320"/>
          </w:tcPr>
          <w:p>
            <w:r>
              <w:t>Sie richten ein, nicht die Leitung. Team wird eingewiesen.</w:t>
            </w:r>
          </w:p>
        </w:tc>
      </w:tr>
      <w:tr>
        <w:tc>
          <w:tcPr>
            <w:tcW w:type="dxa" w:w="4320"/>
          </w:tcPr>
          <w:p>
            <w:r>
              <w:t>„Datenschutz bei sensiblen Daten?"</w:t>
            </w:r>
          </w:p>
        </w:tc>
        <w:tc>
          <w:tcPr>
            <w:tcW w:type="dxa" w:w="4320"/>
          </w:tcPr>
          <w:p>
            <w:r>
              <w:t>EU AI Act &amp; DSGVO als Ausgangspunkt, sichtbar belegt.</w:t>
            </w:r>
          </w:p>
        </w:tc>
      </w:tr>
      <w:tr>
        <w:tc>
          <w:tcPr>
            <w:tcW w:type="dxa" w:w="4320"/>
          </w:tcPr>
          <w:p>
            <w:r>
              <w:t>„Versteckte Folgekosten?"</w:t>
            </w:r>
          </w:p>
        </w:tc>
        <w:tc>
          <w:tcPr>
            <w:tcW w:type="dxa" w:w="4320"/>
          </w:tcPr>
          <w:p>
            <w:r>
              <w:t>Transparente Fixpreise, vorab genannt.</w:t>
            </w:r>
          </w:p>
        </w:tc>
      </w:tr>
      <w:tr>
        <w:tc>
          <w:tcPr>
            <w:tcW w:type="dxa" w:w="4320"/>
          </w:tcPr>
          <w:p>
            <w:r>
              <w:t>„Wer betreut das danach?"</w:t>
            </w:r>
          </w:p>
        </w:tc>
        <w:tc>
          <w:tcPr>
            <w:tcW w:type="dxa" w:w="4320"/>
          </w:tcPr>
          <w:p>
            <w:r>
              <w:t>Der Retainer — als Anker von Anfang an.</w:t>
            </w:r>
          </w:p>
        </w:tc>
      </w:tr>
      <w:tr>
        <w:tc>
          <w:tcPr>
            <w:tcW w:type="dxa" w:w="4320"/>
          </w:tcPr>
          <w:p>
            <w:r>
              <w:t>„,Kein Verkaufsgespräch' — das sagt jeder."</w:t>
            </w:r>
          </w:p>
        </w:tc>
        <w:tc>
          <w:tcPr>
            <w:tcW w:type="dxa" w:w="4320"/>
          </w:tcPr>
          <w:p>
            <w:r>
              <w:t>Gratis-Call nie so bewerben, sondern mit konkretem Ergebnis + Referenz flankieren.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(Track B)</w:t>
            </w:r>
            <w:r>
              <w:t xml:space="preserve"> „Wer haftet, wenn ein KI-Dokument bei der Behörde durchfällt?"</w:t>
            </w:r>
          </w:p>
        </w:tc>
        <w:tc>
          <w:tcPr>
            <w:tcW w:type="dxa" w:w="4320"/>
          </w:tcPr>
          <w:p>
            <w:r>
              <w:t>Haftungsfrage aktiv adressieren; Serverstandort EU/CH, AV-Vertrag, Branchenreferenz statt Versprechen.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(Track B)</w:t>
            </w:r>
            <w:r>
              <w:t xml:space="preserve"> „Kein Generaldienstleister, der auch Medtech macht."</w:t>
            </w:r>
          </w:p>
        </w:tc>
        <w:tc>
          <w:tcPr>
            <w:tcW w:type="dxa" w:w="4320"/>
          </w:tcPr>
          <w:p>
            <w:r>
              <w:t>Genau hier zählt die Laufbahn: Baxter (Pharma/Medizinprodukte, CMC/LCM), Merck (Digital Transformation in regulierter Pharma).</w:t>
            </w:r>
          </w:p>
        </w:tc>
      </w:tr>
    </w:tbl>
    <w:p/>
    <w:p/>
    <w:p/>
    <w:p>
      <w:r>
        <w:rPr>
          <w:b/>
          <w:color w:val="086584"/>
          <w:sz w:val="32"/>
        </w:rPr>
        <w:t>7. Startplan: die ersten 90 Tage (0 → erste Referenzen) — Phase 1</w:t>
      </w:r>
    </w:p>
    <w:p/>
    <w:p>
      <w:r>
        <w:t xml:space="preserve">Ziel der ersten Phase ist nicht Umsatz, sondern </w:t>
      </w:r>
      <w:r>
        <w:rPr>
          <w:b/>
        </w:rPr>
        <w:t>Beweise</w:t>
      </w:r>
      <w:r>
        <w:t>: 1–2 echte Fälle **je</w:t>
      </w:r>
    </w:p>
    <w:p>
      <w:r>
        <w:t>Track** mit Vorher-/Nachher-Zahlen und Testimonials.</w:t>
      </w:r>
    </w:p>
    <w:p/>
    <w:p>
      <w:r>
        <w:rPr>
          <w:b/>
        </w:rPr>
        <w:t>Pilot-Angebot:</w:t>
      </w:r>
      <w:r>
        <w:t xml:space="preserve"> kompakte Potenzialanalyse + ein fertig eingerichteter Quick-Win,</w:t>
      </w:r>
    </w:p>
    <w:p>
      <w:r>
        <w:t>kostenfrei/vergünstigt gegen Feedback, Testimonial und (anonymisierte) Zahlen.</w:t>
      </w:r>
    </w:p>
    <w:p/>
    <w:p>
      <w:r>
        <w:rPr>
          <w:b/>
        </w:rPr>
        <w:t>Tag 1–14:</w:t>
      </w:r>
    </w:p>
    <w:p>
      <w:pPr>
        <w:pStyle w:val="ListBullet"/>
        <w:ind w:left="360"/>
      </w:pPr>
      <w:r>
        <w:t>Track A: Zielliste 15–20 Praxen aus den 3 Start-Segmenten (Netzwerk/lokal bevorzugt),</w:t>
      </w:r>
    </w:p>
    <w:p>
      <w:r>
        <w:t xml:space="preserve">  Pilot-Quick-Win festlegen, Datenschutz-Mappe vorbereiten, Anschreiben personalisieren.</w:t>
      </w:r>
    </w:p>
    <w:p>
      <w:pPr>
        <w:pStyle w:val="ListBullet"/>
        <w:ind w:left="360"/>
      </w:pPr>
      <w:r>
        <w:t xml:space="preserve">Track B: </w:t>
      </w:r>
      <w:r>
        <w:rPr>
          <w:b/>
        </w:rPr>
        <w:t>warme Liste</w:t>
      </w:r>
      <w:r>
        <w:t xml:space="preserve"> aus dem alten Pharma-/Medtech-Netzwerk erstellen (Ex-Kolleg</w:t>
      </w:r>
    </w:p>
    <w:p>
      <w:r>
        <w:t xml:space="preserve">  innen Merck/AbbVie/Baxter/KED, kleine IVD-/Diagnostik-/Supplement-/Medtech-Firmen,</w:t>
      </w:r>
    </w:p>
    <w:p>
      <w:r>
        <w:t xml:space="preserve">  10–50 MA). 5–8 Namen, mit denen ein persönliches Gespräch realistisch ist.</w:t>
      </w:r>
    </w:p>
    <w:p/>
    <w:p>
      <w:r>
        <w:rPr>
          <w:b/>
        </w:rPr>
        <w:t>Tag 15–45:</w:t>
      </w:r>
    </w:p>
    <w:p>
      <w:pPr>
        <w:pStyle w:val="ListBullet"/>
        <w:ind w:left="360"/>
      </w:pPr>
      <w:r>
        <w:t>Track A: 5–8 personalisierte Anschreiben/Woche, 3–5 Erstgespräche, Ausgangswerte</w:t>
      </w:r>
    </w:p>
    <w:p>
      <w:r>
        <w:t xml:space="preserve">  messen, 1–2 Piloten verbindlich starten (Umfang begrenzt).</w:t>
      </w:r>
    </w:p>
    <w:p>
      <w:pPr>
        <w:pStyle w:val="ListBullet"/>
        <w:ind w:left="360"/>
      </w:pPr>
      <w:r>
        <w:t>Track B: 3–5 warme Kontakte direkt ansprechen (kein Kaltschreiben — Reaktivierung).</w:t>
      </w:r>
    </w:p>
    <w:p>
      <w:r>
        <w:t xml:space="preserve">  Aufhänger: Regulatory-/QM-Dokumentation &amp; Audit-Entlastung (laut Studie der</w:t>
      </w:r>
    </w:p>
    <w:p>
      <w:r>
        <w:t xml:space="preserve">  „nützlichste Teil"), nicht Vertrieb/Marketing.</w:t>
      </w:r>
    </w:p>
    <w:p/>
    <w:p>
      <w:r>
        <w:rPr>
          <w:b/>
        </w:rPr>
        <w:t>Tag 46–90:</w:t>
      </w:r>
      <w:r>
        <w:t xml:space="preserve"> Quick-Win liefern + Team einweisen, Wirkung messen, Testimonial +</w:t>
      </w:r>
    </w:p>
    <w:p>
      <w:r>
        <w:t>Einwilligung, Fall als „Situation → Konflikt → Lösung → Beweis" dokumentieren, Retainer</w:t>
      </w:r>
    </w:p>
    <w:p>
      <w:r>
        <w:t xml:space="preserve">anbieten. Ziel: mindestens </w:t>
      </w:r>
      <w:r>
        <w:rPr>
          <w:b/>
        </w:rPr>
        <w:t>eine</w:t>
      </w:r>
      <w:r>
        <w:t xml:space="preserve"> Referenz je Track.</w:t>
      </w:r>
    </w:p>
    <w:p/>
    <w:p>
      <w:r>
        <w:rPr>
          <w:b/>
        </w:rPr>
        <w:t>3 Messfragen:</w:t>
      </w:r>
      <w:r>
        <w:t xml:space="preserve"> (vorher) Stunden/Woche fürs Organisatorische? — (nachher) Wie viele</w:t>
      </w:r>
    </w:p>
    <w:p>
      <w:r>
        <w:t>jetzt, was läuft automatisch? Nach wie vielen Tagen erste spürbare Entlastung?</w:t>
      </w:r>
    </w:p>
    <w:p/>
    <w:p/>
    <w:p>
      <w:r>
        <w:rPr>
          <w:b/>
          <w:color w:val="086584"/>
          <w:sz w:val="32"/>
        </w:rPr>
        <w:t>8. Umsetzungs-Status Website (Stand 2026-07-07)</w:t>
      </w:r>
    </w:p>
    <w:p/>
    <w:p>
      <w:r>
        <w:rPr>
          <w:b/>
        </w:rPr>
        <w:t>Umgesetzt</w:t>
      </w:r>
      <w:r>
        <w:t xml:space="preserve"> (auf Nische geschärft, Gendern neutral, kein „Wien" in SEO): Menü</w:t>
      </w:r>
    </w:p>
    <w:p>
      <w:r>
        <w:t>„Für Praxen"; Blog /journal/ → /blog/ (mit Alias); „Wien" aus SEO entfernt;</w:t>
      </w:r>
    </w:p>
    <w:p>
      <w:r>
        <w:t>Doppelpunkt-Gendern bereinigt.</w:t>
      </w:r>
    </w:p>
    <w:p/>
    <w:p>
      <w:r>
        <w:rPr>
          <w:b/>
        </w:rPr>
        <w:t>Offen / später:</w:t>
      </w:r>
      <w:r>
        <w:t xml:space="preserve"> Ernährungsberatung als dritte Praxisseite; weitere Praxis-Arten</w:t>
      </w:r>
    </w:p>
    <w:p>
      <w:r>
        <w:t>nur bei echter Traktion; Blog-Konzept + erste Beiträge; Preise mit echten Gesprächen</w:t>
      </w:r>
    </w:p>
    <w:p>
      <w:r>
        <w:t>validieren; Story Bank mit echten Pilot-Fällen füllen.</w:t>
      </w:r>
    </w:p>
    <w:p/>
    <w:p>
      <w:pPr>
        <w:ind w:left="432"/>
      </w:pPr>
      <w:r>
        <w:rPr>
          <w:b/>
          <w:i/>
          <w:color w:val="5B6572"/>
        </w:rPr>
        <w:t>Wichtig:</w:t>
      </w:r>
      <w:r>
        <w:rPr>
          <w:i/>
          <w:color w:val="5B6572"/>
        </w:rPr>
        <w:t xml:space="preserve"> Die Website bleibt vorerst </w:t>
      </w:r>
      <w:r>
        <w:rPr>
          <w:b/>
          <w:i/>
          <w:color w:val="5B6572"/>
        </w:rPr>
        <w:t>reiner Track-A-Kanal</w:t>
      </w:r>
      <w:r>
        <w:rPr>
          <w:i/>
          <w:color w:val="5B6572"/>
        </w:rPr>
        <w:t>. Der KMU-Track</w:t>
      </w:r>
    </w:p>
    <w:p>
      <w:pPr>
        <w:ind w:left="432"/>
      </w:pPr>
      <w:r>
        <w:rPr>
          <w:i/>
          <w:color w:val="5B6572"/>
        </w:rPr>
        <w:t>bekommt (noch) keine eigene Website-Sektion — erst wenn 1–2 KMU-Referenzen zeigen,</w:t>
      </w:r>
    </w:p>
    <w:p>
      <w:pPr>
        <w:ind w:left="432"/>
      </w:pPr>
      <w:r>
        <w:rPr>
          <w:i/>
          <w:color w:val="5B6572"/>
        </w:rPr>
        <w:t>dass sich der Fokus lohnt (siehe Kapitel 11, Phase 2).</w:t>
      </w:r>
    </w:p>
    <w:p/>
    <w:p/>
    <w:p>
      <w:r>
        <w:rPr>
          <w:b/>
          <w:color w:val="086584"/>
          <w:sz w:val="32"/>
        </w:rPr>
        <w:t>9. Zweiter Track: Pharma- &amp; Gesundheits-KMU (10–50 MA) — der Laufbahn-Hebel</w:t>
      </w:r>
    </w:p>
    <w:p/>
    <w:p>
      <w:r>
        <w:rPr>
          <w:b/>
        </w:rPr>
        <w:t>Warum dieser Track existiert:</w:t>
      </w:r>
      <w:r>
        <w:t xml:space="preserve"> Leonies Alleinstellung liegt nicht bei Solo-Physios,</w:t>
      </w:r>
    </w:p>
    <w:p>
      <w:r>
        <w:t>sondern in der regulierten Gesundheits-/Pharmawelt — über ein Jahrzehnt Merck, AbbVie,</w:t>
      </w:r>
    </w:p>
    <w:p>
      <w:r>
        <w:t>Baxter (explizit „Pharma- und Medizinprodukte-Umfeld", CMC, LCM), KED, dazu Digital</w:t>
      </w:r>
    </w:p>
    <w:p>
      <w:r>
        <w:t>Transformation Lead bei Merck Healthcare (komplexe regulierte Abläufe → digitale</w:t>
      </w:r>
    </w:p>
    <w:p>
      <w:r>
        <w:t>Prozesse, CRM/CLM/Salesforce). Die Pharma-KMU-Studie zeigt: genau diese Firmen sortieren</w:t>
      </w:r>
    </w:p>
    <w:p>
      <w:r>
        <w:t>Generalisten im ersten Satz aus („kein Generaldienstleister, der auch Medtech macht") —</w:t>
      </w:r>
    </w:p>
    <w:p>
      <w:r>
        <w:t xml:space="preserve">und suchen jemanden mit echter Branchen-Glaubwürdigkeit. </w:t>
      </w:r>
      <w:r>
        <w:rPr>
          <w:b/>
        </w:rPr>
        <w:t>Das ist Leonies Heimspiel.</w:t>
      </w:r>
    </w:p>
    <w:p/>
    <w:p>
      <w:r>
        <w:rPr>
          <w:b/>
        </w:rPr>
        <w:t>Zielgruppe (eigene Anker, NICHT die Praxis-Anker):</w:t>
      </w:r>
      <w:r>
        <w:t xml:space="preserve"> DACH, 10–50 MA, keine Konzerne.</w:t>
      </w:r>
    </w:p>
    <w:p>
      <w:r>
        <w:t>Teilbranchen mit höchstem Ticket/Fit: Diagnostik-/IVD-Hersteller, Medizinprodukte-</w:t>
      </w:r>
    </w:p>
    <w:p>
      <w:r>
        <w:t>Hersteller, Gesundheits-/OTC-Anbieter, Supplement-/NEM-Anbieter, Health-IT, kleine CRO,</w:t>
      </w:r>
    </w:p>
    <w:p>
      <w:r>
        <w:t>Regulatory-Affairs-Dienstleister, Großhandel medizinischer Produkte.</w:t>
      </w:r>
    </w:p>
    <w:p/>
    <w:p>
      <w:r>
        <w:rPr>
          <w:b/>
        </w:rPr>
        <w:t>Kern-Schmerzen (frei erhoben, n=95):</w:t>
      </w:r>
      <w:r>
        <w:t xml:space="preserve"> Regulatorik &amp; Zulassung (MDR/IVDR/GMP, 84 %) ·</w:t>
      </w:r>
    </w:p>
    <w:p>
      <w:r>
        <w:t>Personal/Wissensbindung (62 %) · Dokumentation &amp; Nachweispflichten (42 %) ·</w:t>
      </w:r>
    </w:p>
    <w:p>
      <w:r>
        <w:t>IT-/Systemfragmentierung &amp; Datensilos (41 %) · wiederkehrende Bürokratie (31 %).</w:t>
      </w:r>
    </w:p>
    <w:p/>
    <w:p>
      <w:r>
        <w:rPr>
          <w:b/>
        </w:rPr>
        <w:t>Aufhänger:</w:t>
      </w:r>
      <w:r>
        <w:t xml:space="preserve"> Regulatory-/QM-Dokumentation &amp; Audit-Entlastung — durchgängig der</w:t>
      </w:r>
    </w:p>
    <w:p>
      <w:r>
        <w:t>„nützlichste Teil". Vertrieb/Kundenkommunikation zieht kaum. Haftungsfrage aktiv</w:t>
      </w:r>
    </w:p>
    <w:p>
      <w:r>
        <w:t>adressieren.</w:t>
      </w:r>
    </w:p>
    <w:p/>
    <w:p>
      <w:r>
        <w:rPr>
          <w:b/>
        </w:rPr>
        <w:t>Vertrauens-Belege (was laut Studie zählt):</w:t>
      </w:r>
      <w:r>
        <w:t xml:space="preserve"> Branchenreferenz &gt; Zertifizierung &gt;</w:t>
      </w:r>
    </w:p>
    <w:p>
      <w:r>
        <w:t>AV-Vertrag &gt; Serverstandort EU/CH. „DSGVO-konform" als Schlagwort reicht nie.</w:t>
      </w:r>
    </w:p>
    <w:p/>
    <w:p>
      <w:r>
        <w:rPr>
          <w:b/>
        </w:rPr>
        <w:t>Buy-in:</w:t>
      </w:r>
      <w:r>
        <w:t xml:space="preserve"> Ø 2,7 Entscheidungsebenen — Geschäftsführung fast immer, dazu</w:t>
      </w:r>
    </w:p>
    <w:p>
      <w:r>
        <w:t>QM-/Qualitätsverantwortliche und auffällig oft ein externer Datenschutzbeauftragter.</w:t>
      </w:r>
    </w:p>
    <w:p>
      <w:r>
        <w:t>Längere Zyklen einplanen; mehrere Stakeholder von Anfang an mitdenken.</w:t>
      </w:r>
    </w:p>
    <w:p/>
    <w:p>
      <w:r>
        <w:rPr>
          <w:b/>
        </w:rPr>
        <w:t>Warum „kalt schwer" für Leonie NICHT gilt:</w:t>
      </w:r>
      <w:r>
        <w:t xml:space="preserve"> Die Studie misst Kaltakquise (Ø 3,6/10).</w:t>
      </w:r>
    </w:p>
    <w:p>
      <w:r>
        <w:t xml:space="preserve">Leonie geht diesen Track </w:t>
      </w:r>
      <w:r>
        <w:rPr>
          <w:b/>
        </w:rPr>
        <w:t>warm</w:t>
      </w:r>
      <w:r>
        <w:t xml:space="preserve"> über ihr Alt-Netzwerk — damit fällt die größte Hürde</w:t>
      </w:r>
    </w:p>
    <w:p>
      <w:r>
        <w:t>(Vertrauen + Branchenreferenz) weitgehend weg. Das ist der strategische Kniff: das</w:t>
      </w:r>
    </w:p>
    <w:p>
      <w:r>
        <w:t xml:space="preserve">Segment mit dem höchsten Ticket ist für sie eines der </w:t>
      </w:r>
      <w:r>
        <w:rPr>
          <w:b/>
        </w:rPr>
        <w:t>zugänglichsten</w:t>
      </w:r>
      <w:r>
        <w:t>, nicht das</w:t>
      </w:r>
    </w:p>
    <w:p>
      <w:r>
        <w:t>schwerste.</w:t>
      </w:r>
    </w:p>
    <w:p/>
    <w:p>
      <w:r>
        <w:rPr>
          <w:b/>
        </w:rPr>
        <w:t>Abgrenzung:</w:t>
      </w:r>
      <w:r>
        <w:t xml:space="preserve"> Solo-/Praxis-Referenzen zählen in dieser Welt fast nichts — ein</w:t>
      </w:r>
    </w:p>
    <w:p>
      <w:r>
        <w:t xml:space="preserve">Pharma-KMU will einen Fall </w:t>
      </w:r>
      <w:r>
        <w:rPr>
          <w:b/>
        </w:rPr>
        <w:t>aus seiner Branche</w:t>
      </w:r>
      <w:r>
        <w:t>. Deshalb muss mindestens eine frühe</w:t>
      </w:r>
    </w:p>
    <w:p>
      <w:r>
        <w:t>Referenz aus dem KMU-Track selbst kommen, sonst bleibt er später verschlossen.</w:t>
      </w:r>
    </w:p>
    <w:p/>
    <w:p/>
    <w:p>
      <w:r>
        <w:rPr>
          <w:b/>
          <w:color w:val="086584"/>
          <w:sz w:val="32"/>
        </w:rPr>
        <w:t>10. Netzwerkaufbau — die eigentliche Vertriebs-Infrastruktur</w:t>
      </w:r>
    </w:p>
    <w:p/>
    <w:p>
      <w:r>
        <w:t>Beide Tracks leben von Beziehungen, nicht von Kaltakquise. Konkret:</w:t>
      </w:r>
    </w:p>
    <w:p/>
    <w:p>
      <w:r>
        <w:rPr>
          <w:b/>
        </w:rPr>
        <w:t>Track B (Pharma-/Medtech-Netzwerk reaktivieren) — Priorität, weil einzigartig:</w:t>
      </w:r>
    </w:p>
    <w:p>
      <w:pPr>
        <w:pStyle w:val="ListBullet"/>
        <w:ind w:left="360"/>
      </w:pPr>
      <w:r>
        <w:rPr>
          <w:b/>
        </w:rPr>
        <w:t>Bestandsnetzwerk kartieren:</w:t>
      </w:r>
      <w:r>
        <w:t xml:space="preserve"> Ex-Kolleginnen und -Kollegen von Merck, AbbVie,</w:t>
      </w:r>
    </w:p>
    <w:p>
      <w:r>
        <w:t xml:space="preserve">  Baxter, KED durchgehen (LinkedIn-Kontakte). Wer ist heute in einem KMU, in Regulatory,</w:t>
      </w:r>
    </w:p>
    <w:p>
      <w:r>
        <w:t xml:space="preserve">  QM, Geschäftsführung? Diese Liste ist Leonies wertvollstes Asset.</w:t>
      </w:r>
    </w:p>
    <w:p>
      <w:pPr>
        <w:pStyle w:val="ListBullet"/>
        <w:ind w:left="360"/>
      </w:pPr>
      <w:r>
        <w:rPr>
          <w:b/>
        </w:rPr>
        <w:t>Wieder-in-Kontakt-Kampagne:</w:t>
      </w:r>
      <w:r>
        <w:t xml:space="preserve"> kein Pitch, sondern ehrliches Reconnect + „ich mache</w:t>
      </w:r>
    </w:p>
    <w:p>
      <w:r>
        <w:t xml:space="preserve">  jetzt KI-/Prozessberatung für regulierte Gesundheits-KMU, kennst du jemanden, den das</w:t>
      </w:r>
    </w:p>
    <w:p>
      <w:r>
        <w:t xml:space="preserve">  Thema Audit-/Doku-Entlastung drückt?" → Empfehlungen statt Kaltkontakt.</w:t>
      </w:r>
    </w:p>
    <w:p>
      <w:pPr>
        <w:pStyle w:val="ListBullet"/>
        <w:ind w:left="360"/>
      </w:pPr>
      <w:r>
        <w:rPr>
          <w:b/>
        </w:rPr>
        <w:t>Fach-Sichtbarkeit:</w:t>
      </w:r>
      <w:r>
        <w:t xml:space="preserve"> 1 LinkedIn-Beitrag/Woche zu einem konkreten Regulatorik-/</w:t>
      </w:r>
    </w:p>
    <w:p>
      <w:r>
        <w:t xml:space="preserve">  QM-/Doku-Schmerz (nicht „KI ist toll"), mit Leonies Insider-Blick. Positioniert sie</w:t>
      </w:r>
    </w:p>
    <w:p>
      <w:r>
        <w:t xml:space="preserve">  als „eine von uns", nicht als externe KI-Verkäuferin.</w:t>
      </w:r>
    </w:p>
    <w:p>
      <w:pPr>
        <w:pStyle w:val="ListBullet"/>
        <w:ind w:left="360"/>
      </w:pPr>
      <w:r>
        <w:rPr>
          <w:b/>
        </w:rPr>
        <w:t>Branchen-Andockpunkte:</w:t>
      </w:r>
      <w:r>
        <w:t xml:space="preserve"> Regulatory-/QM-/Medtech-Verbände, Life-Science-Cluster</w:t>
      </w:r>
    </w:p>
    <w:p>
      <w:r>
        <w:t xml:space="preserve">  (z. B. regionale Cluster in AT/DE/CH), einschlägige Fach-Meetups/Webinare.</w:t>
      </w:r>
    </w:p>
    <w:p/>
    <w:p>
      <w:r>
        <w:rPr>
          <w:b/>
        </w:rPr>
        <w:t>Track A (Praxis-Netzwerk lokal aufbauen):</w:t>
      </w:r>
    </w:p>
    <w:p>
      <w:pPr>
        <w:pStyle w:val="ListBullet"/>
        <w:ind w:left="360"/>
      </w:pPr>
      <w:r>
        <w:t>Lokale Empfehlungsketten: zufriedener Pilot → Nachbarpraxis. Gesundheitsbetriebe</w:t>
      </w:r>
    </w:p>
    <w:p>
      <w:r>
        <w:t xml:space="preserve">  reden untereinander.</w:t>
      </w:r>
    </w:p>
    <w:p>
      <w:pPr>
        <w:pStyle w:val="ListBullet"/>
        <w:ind w:left="360"/>
      </w:pPr>
      <w:r>
        <w:t>Multiplikatoren: Steuerberater/Berufsverbände/Abrechnungsdienstleister der</w:t>
      </w:r>
    </w:p>
    <w:p>
      <w:r>
        <w:t xml:space="preserve">  Zielsegmente.</w:t>
      </w:r>
    </w:p>
    <w:p>
      <w:pPr>
        <w:pStyle w:val="ListBullet"/>
        <w:ind w:left="360"/>
      </w:pPr>
      <w:r>
        <w:t>Sichtbarkeit: die Praxis-Website + Blog (bestehender Kanal), Google Business Profile.</w:t>
      </w:r>
    </w:p>
    <w:p/>
    <w:p>
      <w:r>
        <w:rPr>
          <w:b/>
        </w:rPr>
        <w:t>Gemeinsame Regel:</w:t>
      </w:r>
      <w:r>
        <w:t xml:space="preserve"> Jede kostenlose Potenzialanalyse ist Netzwerkarbeit — auch wenn</w:t>
      </w:r>
    </w:p>
    <w:p>
      <w:r>
        <w:t>kein Projekt folgt, bleibt ein Kontakt, der weiterempfiehlt. Kontakte + Erkenntnisse</w:t>
      </w:r>
    </w:p>
    <w:p>
      <w:r>
        <w:t>laufend festhalten (CRM light / einfache Liste).</w:t>
      </w:r>
    </w:p>
    <w:p/>
    <w:p/>
    <w:p>
      <w:r>
        <w:rPr>
          <w:b/>
          <w:color w:val="086584"/>
          <w:sz w:val="32"/>
        </w:rPr>
        <w:t>11. Phasenplan: was auf Phase 1 folgt</w:t>
      </w:r>
    </w:p>
    <w:p/>
    <w:p>
      <w:r>
        <w:rPr>
          <w:b/>
        </w:rPr>
        <w:t>Phase 1 (0–90 Tage) — Beweise sammeln.</w:t>
      </w:r>
      <w:r>
        <w:t xml:space="preserve"> Siehe Kapitel 7. Ergebnis: je 1–2 Referenzen</w:t>
      </w:r>
    </w:p>
    <w:p>
      <w:r>
        <w:t>auf Track A und Track B, Ausgangs-/Nachher-Zahlen, erste Testimonials, erstes Gefühl</w:t>
      </w:r>
    </w:p>
    <w:p>
      <w:r>
        <w:t>dafür, welche Arbeit Leonie liegt.</w:t>
      </w:r>
    </w:p>
    <w:p/>
    <w:p>
      <w:r>
        <w:rPr>
          <w:b/>
        </w:rPr>
        <w:t>Phase 2 (Monat 4–9) — schärfen &amp; entscheiden.</w:t>
      </w:r>
      <w:r>
        <w:t xml:space="preserve"> Auf Basis der realen Piloten:</w:t>
      </w:r>
    </w:p>
    <w:p>
      <w:pPr>
        <w:pStyle w:val="ListBullet"/>
        <w:ind w:left="360"/>
      </w:pPr>
      <w:r>
        <w:rPr>
          <w:b/>
        </w:rPr>
        <w:t>Auswerten:</w:t>
      </w:r>
      <w:r>
        <w:t xml:space="preserve"> Welcher Track konvertiert besser? Welche Arbeit macht Freude? Wo ist</w:t>
      </w:r>
    </w:p>
    <w:p>
      <w:r>
        <w:t xml:space="preserve">  die Marge? (Track B zahlt 5–10× mehr pro Kunde, ist aber anspruchsvoller.)</w:t>
      </w:r>
    </w:p>
    <w:p>
      <w:pPr>
        <w:pStyle w:val="ListBullet"/>
        <w:ind w:left="360"/>
      </w:pPr>
      <w:r>
        <w:rPr>
          <w:b/>
        </w:rPr>
        <w:t>Fokus setzen:</w:t>
      </w:r>
      <w:r>
        <w:t xml:space="preserve"> den stärkeren Track zum Kern machen. Bei starkem Track B: eigene</w:t>
      </w:r>
    </w:p>
    <w:p>
      <w:r>
        <w:t xml:space="preserve">  KMU-Landingpage/Positionierung aufbauen (bis dahin bewusst nicht). Bei starkem</w:t>
      </w:r>
    </w:p>
    <w:p>
      <w:r>
        <w:t xml:space="preserve">  Track A: Praxis-Segmente vertiefen, weitere Branchenseiten.</w:t>
      </w:r>
    </w:p>
    <w:p>
      <w:pPr>
        <w:pStyle w:val="ListBullet"/>
        <w:ind w:left="360"/>
      </w:pPr>
      <w:r>
        <w:rPr>
          <w:b/>
        </w:rPr>
        <w:t>Produktisieren:</w:t>
      </w:r>
      <w:r>
        <w:t xml:space="preserve"> aus den Piloten feste Pakete mit Fixpreisen und benannten</w:t>
      </w:r>
    </w:p>
    <w:p>
      <w:r>
        <w:t xml:space="preserve">  Ergebnissen bauen (statt individueller Beratung). Story Bank mit echten Fällen füllen.</w:t>
      </w:r>
    </w:p>
    <w:p>
      <w:pPr>
        <w:pStyle w:val="ListBullet"/>
        <w:ind w:left="360"/>
      </w:pPr>
      <w:r>
        <w:rPr>
          <w:b/>
        </w:rPr>
        <w:t>Preise validieren:</w:t>
      </w:r>
      <w:r>
        <w:t xml:space="preserve"> synthetische Korridore durch echte Abschlüsse ersetzen.</w:t>
      </w:r>
    </w:p>
    <w:p/>
    <w:p>
      <w:r>
        <w:rPr>
          <w:b/>
        </w:rPr>
        <w:t>Phase 3 (ab Monat 10) — skalieren.</w:t>
      </w:r>
      <w:r>
        <w:t xml:space="preserve"> Wiederholbare Akquise (Empfehlungssystem,</w:t>
      </w:r>
    </w:p>
    <w:p>
      <w:r>
        <w:t>Content-Motor), Retainer-Basis ausbauen (planbarer Umsatz), ggf. erste Auslagerung</w:t>
      </w:r>
    </w:p>
    <w:p>
      <w:r>
        <w:t>von Umsetzungsarbeit. Zielgruppe kann jetzt bewusst erweitert/gewechselt werden —</w:t>
      </w:r>
    </w:p>
    <w:p>
      <w:r>
        <w:t>auf Datenbasis, nicht auf Vermutung.</w:t>
      </w:r>
    </w:p>
    <w:p/>
    <w:p>
      <w:r>
        <w:rPr>
          <w:b/>
        </w:rPr>
        <w:t>Leitprinzip:</w:t>
      </w:r>
      <w:r>
        <w:t xml:space="preserve"> Leonie muss sich jetzt </w:t>
      </w:r>
      <w:r>
        <w:rPr>
          <w:b/>
        </w:rPr>
        <w:t>nicht</w:t>
      </w:r>
      <w:r>
        <w:t xml:space="preserve"> final festlegen. Zwei Tracks parallel</w:t>
      </w:r>
    </w:p>
    <w:p>
      <w:r>
        <w:t>testen, wenig Risiko (kein Gelddruck), und die Realität trifft die Entscheidung in</w:t>
      </w:r>
    </w:p>
    <w:p>
      <w:r>
        <w:t>Phase 2 — statt sie vorab zu erraten.</w:t>
      </w:r>
    </w:p>
    <w:p/>
    <w:p/>
    <w:p>
      <w:r>
        <w:t xml:space="preserve">*Quellen: </w:t>
      </w:r>
      <w:r>
        <w:rPr>
          <w:rFonts w:ascii="Consolas" w:hAnsi="Consolas"/>
        </w:rPr>
        <w:t>AGENTS.md</w:t>
      </w:r>
      <w:r>
        <w:t xml:space="preserve">, </w:t>
      </w:r>
      <w:r>
        <w:rPr>
          <w:rFonts w:ascii="Consolas" w:hAnsi="Consolas"/>
        </w:rPr>
        <w:t>docs/positionierung.md</w:t>
      </w:r>
      <w:r>
        <w:t xml:space="preserve">, </w:t>
      </w:r>
      <w:r>
        <w:rPr>
          <w:rFonts w:ascii="Consolas" w:hAnsi="Consolas"/>
        </w:rPr>
        <w:t>docs/silicon-sampling-ergebnisse.md</w:t>
      </w:r>
      <w:r>
        <w:t>,</w:t>
      </w:r>
    </w:p>
    <w:p>
      <w:r>
        <w:rPr>
          <w:rFonts w:ascii="Consolas" w:hAnsi="Consolas"/>
        </w:rPr>
        <w:t>docs/angebotsvorschlaege.md</w:t>
      </w:r>
      <w:r>
        <w:t>, Pharma-KMU-Silicon-Sampling (extern), LinkedIn-Laufbahn.</w:t>
      </w:r>
    </w:p>
    <w:p>
      <w:r>
        <w:t>Marktzahlen synthetisch (ESOMAR ICC Code 2025) — vor Festlegung mit echten Gesprächen</w:t>
      </w:r>
    </w:p>
    <w:p>
      <w:r>
        <w:t>validieren.*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D22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