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86584"/>
          <w:sz w:val="34"/>
          <w:szCs w:val="34"/>
        </w:rPr>
        <w:t xml:space="preserve">Silicon Sampling — Pharma- &amp; Gesundheits-KMU</w:t>
      </w:r>
    </w:p>
    <w:p>
      <w:pPr>
        <w:spacing w:after="160"/>
      </w:pPr>
      <w:r>
        <w:rPr>
          <w:rFonts w:ascii="Calibri" w:cs="Calibri" w:eastAsia="Calibri" w:hAnsi="Calibri"/>
          <w:color w:val="5B6572"/>
          <w:sz w:val="22"/>
          <w:szCs w:val="22"/>
        </w:rPr>
        <w:t xml:space="preserve">Marktforschung mit synthetischen Personas · DACH · 10–50 Mitarbeitende</w:t>
      </w:r>
    </w:p>
    <w:tbl>
      <w:tblPr>
        <w:tblW w:type="pct" w:w="100%"/>
        <w:tblBorders>
          <w:top w:val="single" w:color="CF982B" w:sz="8"/>
          <w:left w:val="single" w:color="CF982B" w:sz="18"/>
          <w:bottom w:val="single" w:color="CF982B" w:sz="8"/>
          <w:right w:val="single" w:color="CF982B" w:sz="8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F3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7A5A12"/>
                <w:sz w:val="19"/>
                <w:szCs w:val="19"/>
              </w:rPr>
              <w:t xml:space="preserve">⚠  Synthetische Daten — ESOMAR ICC Code 2025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7A5A12"/>
                <w:sz w:val="19"/>
                <w:szCs w:val="19"/>
              </w:rPr>
              <w:t xml:space="preserve">Alle Ergebnisse stammen aus KI-Personas (Modell claude-sonnet-4-6), nicht aus echten Befragungen. Sie sind Hypothesen, keine Fakten, und ersetzen keine reale Marktforschung. Vor Investitions- oder Preisentscheidungen mit echten Interviews validieren.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/>
      </w:r>
    </w:p>
    <w:p>
      <w:pPr>
        <w:spacing w:after="120" w:before="0" w:line="276"/>
      </w:pPr>
      <w:r>
        <w:rPr>
          <w:rFonts w:ascii="Calibri" w:cs="Calibri" w:eastAsia="Calibri" w:hAnsi="Calibri"/>
          <w:i/>
          <w:iCs/>
          <w:color w:val="5B6572"/>
          <w:sz w:val="19"/>
          <w:szCs w:val="19"/>
        </w:rPr>
        <w:t xml:space="preserve">Modell: claude-sonnet-4-6  ·  Personas ausgewertet: 95 von 200 geplant (Lauf durch Guthaben-Limit gestoppt, jederzeit auffüllbar)  ·  Methode: dreistufige blinde Mehrturn-Befragung (offen → Angebot → Van Westendorp) + strukturierte Extraktion  ·  Skeptiker-Quote bewusst &gt; 40 %.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572"/>
          <w:sz w:val="19"/>
          <w:szCs w:val="19"/>
        </w:rPr>
        <w:t xml:space="preserve">Zielgruppe: kleine und mittlere Unternehmen der Pharma- und Gesundheitsbranche (AT/DE/CH), 10–50 Mitarbeitende — keine Großkonzerne. Pain Points, Wünsche, Einwände und Preise sind unabhängig aus den Personas entstanden, ohne inhaltliche Vorgabe.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1  Kernkennzahlen (n=95)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Buchungswahrscheinlichkeit Gratis-Erstanalyse (1–10): Ø 3.6 (Median 4, n=95) — niedrig, kalt schwer zu konvertieren.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Vertrauen ggü. Externen mit sensiblen Daten (1–5): Ø 2 (Median 2, n=95) — das eigentliche Nadelöhr.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Regulatorik-/Compliance-Hürde (1–5): Ø 4.6 (Median 5, n=95) — höchste Barriere, quer durch alle Branchen.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Digitalreife, geäußert (1–5): Ø 2.1 (Median 2, n=95) — Mehrheit noch stark Excel-/Word-/Papier-basiert.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Entscheidungsebenen je Deal (1–4): Ø 2.7 (Median 3, n=95) — selten Alleinentscheid, längerer Weg.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2  Zahlungsbereitschaft (Van Westendorp)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760"/>
        <w:gridCol w:w="1200"/>
      </w:tblGrid>
      <w:tr>
        <w:trPr>
          <w:tblHeader/>
        </w:trPr>
        <w:tc>
          <w:tcPr>
            <w:tcW w:type="dxa" w:w="32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Optimalpreis (OPP)</w:t>
            </w:r>
          </w:p>
        </w:tc>
        <w:tc>
          <w:tcPr>
            <w:tcW w:type="dxa" w:w="276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Akzeptanzspanne</w:t>
            </w:r>
          </w:p>
        </w:tc>
        <w:tc>
          <w:tcPr>
            <w:tcW w:type="dxa" w:w="12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 valide</w:t>
            </w:r>
          </w:p>
        </w:tc>
      </w:tr>
      <w:t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Einmaliges Aufbau-Projekt</w:t>
            </w:r>
          </w:p>
        </w:tc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12.000 €</w:t>
            </w:r>
          </w:p>
        </w:tc>
        <w:tc>
          <w:tcPr>
            <w:tcW w:type="dxa" w:w="27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12.000 € – 23.889 €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32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Monatlicher Retainer</w:t>
            </w:r>
          </w:p>
        </w:tc>
        <w:tc>
          <w:tcPr>
            <w:tcW w:type="dxa" w:w="22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600 €</w:t>
            </w:r>
          </w:p>
        </w:tc>
        <w:tc>
          <w:tcPr>
            <w:tcW w:type="dxa" w:w="27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600 € – 1.500 €</w:t>
            </w:r>
          </w:p>
        </w:tc>
        <w:tc>
          <w:tcPr>
            <w:tcW w:type="dxa" w:w="12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95</w:t>
            </w:r>
          </w:p>
        </w:tc>
      </w:tr>
    </w:tbl>
    <w:p>
      <w:pPr>
        <w:spacing w:after="120" w:before="100" w:line="276"/>
      </w:pPr>
      <w:r>
        <w:rPr>
          <w:rFonts w:ascii="Calibri" w:cs="Calibri" w:eastAsia="Calibri" w:hAnsi="Calibri"/>
          <w:i/>
          <w:iCs/>
          <w:color w:val="5B6572"/>
          <w:sz w:val="19"/>
          <w:szCs w:val="19"/>
        </w:rPr>
        <w:t xml:space="preserve">Deutlich über der Praxen-/Solo-Welt — hier gelten Firmenbudgets und regulierte Beschaffung.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3  Häufigste Pain Points (frei entstanden)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572"/>
          <w:sz w:val="19"/>
          <w:szCs w:val="19"/>
        </w:rPr>
        <w:t xml:space="preserve">Nach Häufigkeit geordnet. Zahl = Personas, die das Thema nannten. Zitate sind wörtliche O-Töne der Personas — direkt als Copy-Rohmaterial nutzbar.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B2C8C"/>
          <w:sz w:val="22"/>
          <w:szCs w:val="22"/>
        </w:rPr>
        <w:t xml:space="preserve">Regulatorik &amp; Zulassung (MDR/IVDR/GMP)</w:t>
      </w:r>
      <w:r>
        <w:rPr>
          <w:rFonts w:ascii="Calibri" w:cs="Calibri" w:eastAsia="Calibri" w:hAnsi="Calibri"/>
          <w:b/>
          <w:bCs/>
          <w:color w:val="CF982B"/>
          <w:sz w:val="20"/>
          <w:szCs w:val="20"/>
        </w:rPr>
        <w:t xml:space="preserve">   80 Nennungen (84 %)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„Ich lese abends Guidance Documents, weil tagsüber keine Zeit ist. Das ist auf Dauer nicht nachhaltig, aber wen soll ich damit beauftragen bei zwanzig Leuten?“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„Die ISO-17025-Anforderungen werden nicht kleiner, und jedes Audit kostet uns überproportional viel Vorbereitung, weil die Dokumentation halt eben nicht durchgängig ist.“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sind im Nahrungsergänzungsbereich, also regulatorisch ziemlich unter Beobachtung – LMIV, Health Claims, jetzt zunehmend auch NEM-Richtlinien auf EU-Ebene, das zieht sich.“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B2C8C"/>
          <w:sz w:val="22"/>
          <w:szCs w:val="22"/>
        </w:rPr>
        <w:t xml:space="preserve">Personal, Fachkraefte &amp; Wissensbindung</w:t>
      </w:r>
      <w:r>
        <w:rPr>
          <w:rFonts w:ascii="Calibri" w:cs="Calibri" w:eastAsia="Calibri" w:hAnsi="Calibri"/>
          <w:b/>
          <w:bCs/>
          <w:color w:val="CF982B"/>
          <w:sz w:val="20"/>
          <w:szCs w:val="20"/>
        </w:rPr>
        <w:t xml:space="preserve">   59 Nennungen (62 %)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haben viel implizites Wissen, das nur in den Köpfen einzelner Mitarbeiter steckt. Wenn jemand geht, ist das weg. Das ist ein echtes Problem.“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haben viel Know-how, das nur in den Köpfen von zwei, drei Leuten steckt. Wenn einer ausfällt oder geht, haben wir ein echtes Problem.“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„Bei 13 Leuten -- wenn zwei gleichzeitig ausfallen oder kündigen, habe ich ein ernsthaftes Problem. Wir sind zu spezialisiert, als dass ich das einfach auffangen kann.“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B2C8C"/>
          <w:sz w:val="22"/>
          <w:szCs w:val="22"/>
        </w:rPr>
        <w:t xml:space="preserve">Dokumentation &amp; Nachweispflichten</w:t>
      </w:r>
      <w:r>
        <w:rPr>
          <w:rFonts w:ascii="Calibri" w:cs="Calibri" w:eastAsia="Calibri" w:hAnsi="Calibri"/>
          <w:b/>
          <w:bCs/>
          <w:color w:val="CF982B"/>
          <w:sz w:val="20"/>
          <w:szCs w:val="20"/>
        </w:rPr>
        <w:t xml:space="preserve">   40 Nennungen (42 %)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„meine Leute teilweise mehr Zeit mit Nachweisen verbringen als mit den Kunden“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„die guten Leute schauen sich das an und denken sich: Das tu ich mir nicht an“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„suche ich selbst dreißig Minuten nach einem einzigen Dokument. Das ist kein Ausnahmefall, das passiert wöchentlich.“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B2C8C"/>
          <w:sz w:val="22"/>
          <w:szCs w:val="22"/>
        </w:rPr>
        <w:t xml:space="preserve">IT-/Systemfragmentierung &amp; Datensilos</w:t>
      </w:r>
      <w:r>
        <w:rPr>
          <w:rFonts w:ascii="Calibri" w:cs="Calibri" w:eastAsia="Calibri" w:hAnsi="Calibri"/>
          <w:b/>
          <w:bCs/>
          <w:color w:val="CF982B"/>
          <w:sz w:val="20"/>
          <w:szCs w:val="20"/>
        </w:rPr>
        <w:t xml:space="preserve">   39 Nennungen (41 %)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haben unser CRM, unser ERP, ein QMS -- alles läuft, aber die Systeme reden kaum miteinander.“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haben ein ERP, wir haben ein QMS, wir haben ein CRM -- und die reden nicht miteinander.“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„ein zentrales System, das mir in Echtzeit sagt wo ich stehe – Lager, Umsatz, welche Produkte laufen, welche nicht, ohne dass jemand erst stundenlang zusammentragen muss.“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B2C8C"/>
          <w:sz w:val="22"/>
          <w:szCs w:val="22"/>
        </w:rPr>
        <w:t xml:space="preserve">Verwaltung &amp; wiederkehrende Buerokratie</w:t>
      </w:r>
      <w:r>
        <w:rPr>
          <w:rFonts w:ascii="Calibri" w:cs="Calibri" w:eastAsia="Calibri" w:hAnsi="Calibri"/>
          <w:b/>
          <w:bCs/>
          <w:color w:val="CF982B"/>
          <w:sz w:val="20"/>
          <w:szCs w:val="20"/>
        </w:rPr>
        <w:t xml:space="preserve">   29 Nennungen (31 %)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„dann sitz ich da und kopiere Daten von A nach B, oder ich frage drei Leute, bis ich das zusammen hab. Das ist einfach Zeitverschwendung, die man eigentlich nicht bräuchte.“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„Wenn wir wachsen wollen, können wir das nicht mit den gleichen manuellen Prozessen machen. Irgendwann bricht das zusammen, das ist mir klar.“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„sitzt irgendwer bei uns und kopiert Daten von einem System ins andere, oder macht Excel-Listen, die schon wieder veraltet sind bevor ich sie anschaue“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6B2C8C"/>
          <w:sz w:val="22"/>
          <w:szCs w:val="22"/>
        </w:rPr>
        <w:t xml:space="preserve">Wachstum, Skalierung &amp; Nachfolge</w:t>
      </w:r>
      <w:r>
        <w:rPr>
          <w:rFonts w:ascii="Calibri" w:cs="Calibri" w:eastAsia="Calibri" w:hAnsi="Calibri"/>
          <w:b/>
          <w:bCs/>
          <w:color w:val="CF982B"/>
          <w:sz w:val="20"/>
          <w:szCs w:val="20"/>
        </w:rPr>
        <w:t xml:space="preserve">   29 Nennungen (31 %)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„Mehr Kunden bedeutet mehr Dokumentationsaufwand, mehr Audits, mehr Personalverantwortung.“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„Mehr Kunden mit denselben ineffizienten Prozessen -- das geht schief.“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„mehr Umsatz heißt mehr Volumen in einem System das jetzt schon knarrt“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4  Wünsche / „per Zauberei sofort ändern“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Kundendokumentation standardisieren – ein einheitliches Format für alle Kunden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Automatisierung der sinnlosen Mehrfacherfassung von Dokumenten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System, das regulatorische Änderungen selbständig verfolgt und aufbereitet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Dass morgen früh jeder im Team weiß, was er zu tun hat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Auf einen Blick sehen, wo das Unternehmen steht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Nicht mehr als menschliche Datenbank funktionieren müssen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Einheitliche, strukturierte Verwaltung statt Excel/Word/Papier-Chaos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Ein einziger, durchgängiger Informationsfluss vom ersten Kundenkontakt bis zum Support-Ticket ohne manuelle Übertragung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Systeme, die miteinander kommunizieren (CRM, ERP, QMS)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Automatisierung der Regulatory- und Qualitätsdokumentation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5  Teilbranchen-Unterschiede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B6572"/>
          <w:sz w:val="19"/>
          <w:szCs w:val="19"/>
        </w:rPr>
        <w:t xml:space="preserve">Ausdrücklich die Unterschiede: Schmerz, Zahlungsbereitschaft, Digitalreife. (Bei n &lt; 5 ist der Van-Westendorp-Preis noch leer — füllt sich beim Auffüllen auf 200.)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00"/>
        <w:gridCol w:w="900"/>
        <w:gridCol w:w="800"/>
        <w:gridCol w:w="900"/>
        <w:gridCol w:w="1560"/>
        <w:gridCol w:w="1600"/>
      </w:tblGrid>
      <w:tr>
        <w:trPr>
          <w:tblHeader/>
        </w:trPr>
        <w:tc>
          <w:tcPr>
            <w:tcW w:type="dxa" w:w="31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Teilbranche</w:t>
            </w:r>
          </w:p>
        </w:tc>
        <w:tc>
          <w:tcPr>
            <w:tcW w:type="dxa" w:w="5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9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Ø Buch.</w:t>
            </w:r>
          </w:p>
        </w:tc>
        <w:tc>
          <w:tcPr>
            <w:tcW w:type="dxa" w:w="8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Ø Reg.</w:t>
            </w:r>
          </w:p>
        </w:tc>
        <w:tc>
          <w:tcPr>
            <w:tcW w:type="dxa" w:w="9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Ø Digi.</w:t>
            </w:r>
          </w:p>
        </w:tc>
        <w:tc>
          <w:tcPr>
            <w:tcW w:type="dxa" w:w="156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Projekt-OPP</w:t>
            </w:r>
          </w:p>
        </w:tc>
        <w:tc>
          <w:tcPr>
            <w:tcW w:type="dxa" w:w="1600"/>
            <w:shd w:fill="08658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Retainer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Auftragslabor</w:t>
            </w:r>
          </w:p>
        </w:tc>
        <w:tc>
          <w:tcPr>
            <w:tcW w:type="dxa" w:w="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3.7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2.2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7.500 €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600 €</w:t>
            </w:r>
          </w:p>
        </w:tc>
      </w:tr>
      <w:tr>
        <w:tc>
          <w:tcPr>
            <w:tcW w:type="dxa" w:w="31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Diagnostik-/IVD-Hersteller</w:t>
            </w:r>
          </w:p>
        </w:tc>
        <w:tc>
          <w:tcPr>
            <w:tcW w:type="dxa" w:w="5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3.5</w:t>
            </w:r>
          </w:p>
        </w:tc>
        <w:tc>
          <w:tcPr>
            <w:tcW w:type="dxa" w:w="8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4.8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12.500 €</w:t>
            </w:r>
          </w:p>
        </w:tc>
        <w:tc>
          <w:tcPr>
            <w:tcW w:type="dxa" w:w="16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600 €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Gesundheits-/OTC-Produkt-Anbieter</w:t>
            </w:r>
          </w:p>
        </w:tc>
        <w:tc>
          <w:tcPr>
            <w:tcW w:type="dxa" w:w="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3.5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2.1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12.500 €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650 €</w:t>
            </w:r>
          </w:p>
        </w:tc>
      </w:tr>
      <w:tr>
        <w:tc>
          <w:tcPr>
            <w:tcW w:type="dxa" w:w="31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Grosshandel/Vertrieb medizinische Produkte &amp; Hilfsmittel</w:t>
            </w:r>
          </w:p>
        </w:tc>
        <w:tc>
          <w:tcPr>
            <w:tcW w:type="dxa" w:w="5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3.9</w:t>
            </w:r>
          </w:p>
        </w:tc>
        <w:tc>
          <w:tcPr>
            <w:tcW w:type="dxa" w:w="8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4.9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15.000 €</w:t>
            </w:r>
          </w:p>
        </w:tc>
        <w:tc>
          <w:tcPr>
            <w:tcW w:type="dxa" w:w="16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700 €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Nahrungsergaenzungs-/Supplement-Anbieter</w:t>
            </w:r>
          </w:p>
        </w:tc>
        <w:tc>
          <w:tcPr>
            <w:tcW w:type="dxa" w:w="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3.4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2.1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7.000 €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450 €</w:t>
            </w:r>
          </w:p>
        </w:tc>
      </w:tr>
      <w:tr>
        <w:tc>
          <w:tcPr>
            <w:tcW w:type="dxa" w:w="31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Klinische-Studien-Dienstleister / kleine CRO</w:t>
            </w:r>
          </w:p>
        </w:tc>
        <w:tc>
          <w:tcPr>
            <w:tcW w:type="dxa" w:w="5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3.5</w:t>
            </w:r>
          </w:p>
        </w:tc>
        <w:tc>
          <w:tcPr>
            <w:tcW w:type="dxa" w:w="8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4.9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6.000 €</w:t>
            </w:r>
          </w:p>
        </w:tc>
        <w:tc>
          <w:tcPr>
            <w:tcW w:type="dxa" w:w="16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600 €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Gesundheits-Software / Health-IT / e-Health</w:t>
            </w:r>
          </w:p>
        </w:tc>
        <w:tc>
          <w:tcPr>
            <w:tcW w:type="dxa" w:w="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3.4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4.8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2.1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15.000 €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800 €</w:t>
            </w:r>
          </w:p>
        </w:tc>
      </w:tr>
      <w:tr>
        <w:tc>
          <w:tcPr>
            <w:tcW w:type="dxa" w:w="31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Medizinprodukte-Hersteller</w:t>
            </w:r>
          </w:p>
        </w:tc>
        <w:tc>
          <w:tcPr>
            <w:tcW w:type="dxa" w:w="5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3.6</w:t>
            </w:r>
          </w:p>
        </w:tc>
        <w:tc>
          <w:tcPr>
            <w:tcW w:type="dxa" w:w="8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4.9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1.9</w:t>
            </w:r>
          </w:p>
        </w:tc>
        <w:tc>
          <w:tcPr>
            <w:tcW w:type="dxa" w:w="15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8.000 €</w:t>
            </w:r>
          </w:p>
        </w:tc>
        <w:tc>
          <w:tcPr>
            <w:tcW w:type="dxa" w:w="16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700 €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Regulatory-Affairs-Dienstleister</w:t>
            </w:r>
          </w:p>
        </w:tc>
        <w:tc>
          <w:tcPr>
            <w:tcW w:type="dxa" w:w="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3.6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4.6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2.2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12.500 €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750 €</w:t>
            </w:r>
          </w:p>
        </w:tc>
      </w:tr>
      <w:tr>
        <w:tc>
          <w:tcPr>
            <w:tcW w:type="dxa" w:w="31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Spezialisierter Gesundheits-Dienstleister</w:t>
            </w:r>
          </w:p>
        </w:tc>
        <w:tc>
          <w:tcPr>
            <w:tcW w:type="dxa" w:w="5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3.8</w:t>
            </w:r>
          </w:p>
        </w:tc>
        <w:tc>
          <w:tcPr>
            <w:tcW w:type="dxa" w:w="8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4.5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Pharmakovigilanz-Dienstleister</w:t>
            </w:r>
          </w:p>
        </w:tc>
        <w:tc>
          <w:tcPr>
            <w:tcW w:type="dxa" w:w="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4.2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2.5</w:t>
            </w:r>
          </w:p>
        </w:tc>
        <w:tc>
          <w:tcPr>
            <w:tcW w:type="dxa" w:w="156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1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Lohnhersteller / CMO fuer Pharma &amp; Supplements</w:t>
            </w:r>
          </w:p>
        </w:tc>
        <w:tc>
          <w:tcPr>
            <w:tcW w:type="dxa" w:w="5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3.7</w:t>
            </w:r>
          </w:p>
        </w:tc>
        <w:tc>
          <w:tcPr>
            <w:tcW w:type="dxa" w:w="8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4.7</w:t>
            </w:r>
          </w:p>
        </w:tc>
        <w:tc>
          <w:tcPr>
            <w:tcW w:type="dxa" w:w="9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n/a</w:t>
            </w:r>
          </w:p>
        </w:tc>
        <w:tc>
          <w:tcPr>
            <w:tcW w:type="dxa" w:w="1600"/>
            <w:shd w:fill="F4F9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228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160" w:line="276"/>
      </w:pPr>
      <w:r>
        <w:rPr>
          <w:rFonts w:ascii="Calibri" w:cs="Calibri" w:eastAsia="Calibri" w:hAnsi="Calibri"/>
          <w:b/>
          <w:bCs/>
          <w:color w:val="1D2228"/>
          <w:sz w:val="20"/>
          <w:szCs w:val="20"/>
        </w:rPr>
        <w:t xml:space="preserve">Dominante Pain Points je Teilbranche: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Auftragslabor (n=11): Personal, Fachkraefte &amp; Wissensbindung · Vertrieb, Kunden &amp; Kommunikation · Dokumentation &amp; Nachweispflichten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Diagnostik-/IVD-Hersteller (n=11): Regulatorik &amp; Zulassung (MDR/IVDR/GMP) · Personal, Fachkraefte &amp; Wissensbindung · Dokumentation &amp; Nachweispflichten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Gesundheits-/OTC-Produkt-Anbieter (n=11): Regulatorik &amp; Zulassung (MDR/IVDR/GMP) · Personal, Fachkraefte &amp; Wissensbindung · Dokumentation &amp; Nachweispflichten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Grosshandel/Vertrieb medizinische Produkte &amp; Hilfsmittel (n=11): Regulatorik &amp; Zulassung (MDR/IVDR/GMP) · Personal, Fachkraefte &amp; Wissensbindung · Dokumentation &amp; Nachweispflichten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Nahrungsergaenzungs-/Supplement-Anbieter (n=10): Regulatorik &amp; Zulassung (MDR/IVDR/GMP) · Personal, Fachkraefte &amp; Wissensbindung · IT-/Systemfragmentierung &amp; Datensilos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Klinische-Studien-Dienstleister / kleine CRO (n=10): Regulatorik &amp; Zulassung (MDR/IVDR/GMP) · Verwaltung &amp; wiederkehrende Buerokratie · Personal, Fachkraefte &amp; Wissensbindung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Gesundheits-Software / Health-IT / e-Health (n=8): IT-/Systemfragmentierung &amp; Datensilos · Regulatorik &amp; Zulassung (MDR/IVDR/GMP) · Personal, Fachkraefte &amp; Wissensbindung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Medizinprodukte-Hersteller (n=7): Dokumentation &amp; Nachweispflichten · Regulatorik &amp; Zulassung (MDR/IVDR/GMP) · IT-/Systemfragmentierung &amp; Datensilos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Regulatory-Affairs-Dienstleister (n=5): Personal, Fachkraefte &amp; Wissensbindung · Regulatorik &amp; Zulassung (MDR/IVDR/GMP) · Verwaltung &amp; wiederkehrende Buerokratie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Spezialisierter Gesundheits-Dienstleister (n=4): Verwaltung &amp; wiederkehrende Buerokratie · Dokumentation &amp; Nachweispflichten · Wachstum, Skalierung &amp; Nachfolge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Pharmakovigilanz-Dienstleister (n=4): Regulatorik &amp; Zulassung (MDR/IVDR/GMP) · IT-/Systemfragmentierung &amp; Datensilos · Dokumentation &amp; Nachweispflichten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Lohnhersteller / CMO fuer Pharma &amp; Supplements (n=3): Regulatorik &amp; Zulassung (MDR/IVDR/GMP) · Verwaltung &amp; wiederkehrende Buerokratie · Personal, Fachkraefte &amp; Wissensbindung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6  Wer entscheidet (Buy-in-Mapping)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Mittlere Entscheidungsebenen je Deal: Ø 2.7 (Median 3, n=95). Geschäftsführung entscheidet fast immer mit, dazu QM-/Qualitätsverantwortliche und auffällig oft ein externer Datenschutzbeauftragter. Häufigste mitentscheidende Rollen: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Geschäftsführung  (×45)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Qualitätsverantwortliche  (×14)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Geschäftsführer  (×12)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QM-Verantwortliche  (×8)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externer Datenschutzbeauftragter  (×7)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Externer Datenschutzbeauftragter  (×6)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QM-Leitung  (×6)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Geschaeftsfuehrung  (×5)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7  Regulatorik &amp; Compliance — die Hürde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Höhe der Hürde: Ø 4.6 (Median 5, n=95) auf Skala 1–5 (1 = kein Thema, 5 = maximaler Blocker). Was laut Personas Vertrauen schafft, nach Häufigkeit: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Referenzen aus der Branche  (×9)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Referenzen  (×7)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Zertifizierungen  (×5)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Auftragsverarbeitungsvertrag (AV-Vertrag)  (×5)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Referenzen aus dem Gesundheitsbereich  (×4)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Zertifizierungen des Anbieters  (×4)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Serverstandort  (×4)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Datenschutzvertrag (AV-Vertrag)  (×3)</w:t>
      </w:r>
    </w:p>
    <w:p>
      <w:pPr>
        <w:spacing w:after="80" w:before="160" w:line="276"/>
      </w:pPr>
      <w:r>
        <w:rPr>
          <w:rFonts w:ascii="Calibri" w:cs="Calibri" w:eastAsia="Calibri" w:hAnsi="Calibri"/>
          <w:b/>
          <w:bCs/>
          <w:color w:val="1D2228"/>
          <w:sz w:val="20"/>
          <w:szCs w:val="20"/>
        </w:rPr>
        <w:t xml:space="preserve">O-Töne zu Datenschutz / Compliance: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„Da brauche ich klare Antworten: Wo liegen die Daten, wer hat Zugriff, wie ist das vertraglich geregelt. Ein nettes Pitch-Deck reicht mir da nicht.“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„Ich bräuchte klare Antworten: Wo liegen die Daten, wer hat Zugriff, wie ist das vertraglich geregelt. "DSGVO-konform" als Schlagwort reicht mir nicht.“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haben Patientendaten, wir haben Krankenkassenverträge, wir haben DSGVO und dazu noch sektorspezifische Auflagen. Ein netter Satz in einer Präsentation reicht mir da nicht.“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„Ein Externer braucht bei mir sehr konkrete Nachweise -- Referenzen aus dem IVD- oder Medizinprodukte-Bereich, kein allgemeines KI-Versprechen.“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„Referenzen aus dem regulierten Medizinprodukte-Umfeld wären Pflicht -- kein Generaldienstleister, der 'auch Medtech macht'.“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„Wir haben Chargendaten, Rezepturen, Kundendaten -- das ist nicht nichts. Da brauche ich sehr konkrete Antworten zu Datenhaltung, Verträgen, Zugriffen. Nicht Versprechen, Dokumente.“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8  Größte Einwände gegen das Angebot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„"Maßgeschneidert" und "kostenlos" passt für mich nicht zusammen. Irgendjemand bezahlt das, und wenn es nicht ich bin upfront, dann später -- oder ich bin das Produkt.“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„Maßgeschneidert höre ich oft. In der Praxis kommt dann meistens ein halbfertiges Standardprodukt mit unserem Logo drauf.“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„"Datenschutz- und regulatorisch konform" – das sagt jeder. Ich will wissen, wer das geprüft hat, nach welchem Standard, wer haftet wenn etwas schiefläuft.“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„"Datenschutz- und regulatorisch konform" — das sagt jeder. Ich hab das schon oft gehört. Wer garantiert mir das konkret, und wer haftet, wenn's nicht stimmt?“</w:t>
      </w:r>
    </w:p>
    <w:p>
      <w:pPr>
        <w:pBdr>
          <w:left w:val="single" w:color="5FA2A0" w:sz="18" w:space="12"/>
        </w:pBdr>
        <w:spacing w:after="80" w:line="264"/>
        <w:ind w:left="340"/>
      </w:pPr>
      <w:r>
        <w:rPr>
          <w:rFonts w:ascii="Calibri" w:cs="Calibri" w:eastAsia="Calibri" w:hAnsi="Calibri"/>
          <w:i/>
          <w:iCs/>
          <w:color w:val="3A4450"/>
          <w:sz w:val="20"/>
          <w:szCs w:val="20"/>
        </w:rPr>
        <w:t xml:space="preserve">„Klinische Studien sind kein normales KMU. GCP, FDA, EMA -- wer das nicht im Schlaf kennt, richtet mir mehr Chaos an als er loest.“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9  Ableitung für die Positionierung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Compliance-first ist Pflicht, nicht Option — mit konkreten Belegen (Serverstandort EU/CH, AV-Vertrag, Zertifikat, Branchenreferenz) statt dem bloßen Wort „datenschutzkonform".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Aufhänger: Regulatory-/QM-Dokumentation &amp; Audit-Entlastung — das ist durchgängig der „nützlichste Teil". Vertrieb/Kundenkommunikation zieht kaum.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Branchenspezifisch auftreten — ein Generalist verliert im ersten Satz („kein Generaldienstleister, der auch Medtech macht").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Haftungsfrage aktiv adressieren: „Wer haftet, wenn ein KI-generiertes Dokument bei der Behörde durchfällt?"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Gratis-Erstanalyse entschärfen — der „kostenlos = Fuß in der Tür"-Reflex ist stark. Transparenz über das, was danach kommt.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86584"/>
        </w:rPr>
        <w:t xml:space="preserve">10  Methodik &amp; Reproduzierbarkeit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Modell: claude-sonnet-4-6 (Anthropic). Deterministische Persona-Generierung (Seed 20260719).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Ablauf je Persona: System-Prompt mit Persona-Attributen → Phase 1 (offen, vor jeder Konzept-Nennung) → Phase 2 (wörtlich vorgelesenes Angebot) → Phase 3 (Van-Westendorp-Preisschwellen) → strukturierte Extraktion.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Bias-Gegenmaßnahmen: blinde/neutrale Fragen ohne Leading; Pain Points entstehen vor Konzept-Nennung; Skeptiker-Quote &gt; 40 %; Personas dürfen ablehnen.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Van Westendorp: nur valide, monoton geordnete Antworten; OPP/IPP/PMC/PME per linearer Interpolation, auch je Teilbranche.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Grenzen: geäußerte, nicht tatsächliche Präferenzen; LLM-Homogenität kann Mehrheitsmeinungen überzeichnen; Preise sind Hypothesen, kein Markttest. Vor Entscheidungen mit 10–20 echten Interviews je Top-Segment validieren.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Calibri" w:cs="Calibri" w:eastAsia="Calibri" w:hAnsi="Calibri"/>
          <w:color w:val="1D2228"/>
          <w:sz w:val="21"/>
          <w:szCs w:val="21"/>
        </w:rPr>
        <w:t xml:space="preserve">Rohdaten &amp; alle Prompts: sampling_pharma_kmu.json; voller Report: report_pharma_kmu.md.</w:t>
      </w:r>
    </w:p>
    <w:p>
      <w:pPr>
        <w:pBdr>
          <w:top w:val="single" w:color="ECE3D8" w:sz="8" w:space="8"/>
        </w:pBdr>
        <w:spacing w:before="300"/>
      </w:pPr>
      <w:r>
        <w:rPr>
          <w:rFonts w:ascii="Calibri" w:cs="Calibri" w:eastAsia="Calibri" w:hAnsi="Calibri"/>
          <w:i/>
          <w:iCs/>
          <w:color w:val="5B6572"/>
          <w:sz w:val="17"/>
          <w:szCs w:val="17"/>
        </w:rPr>
        <w:t xml:space="preserve">Synthetische Marktforschung gemäß ESOMAR ICC Code 2025. KEINE echten Befragungsdaten. Ergebnisse sind Hypothesen.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2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Silicon Sampling — Pharma- &amp; Gesundheits-KMU</dc:title>
  <dc:creator>Leonie Kaiser — KI &amp; Business Consulting</dc:creator>
  <cp:lastModifiedBy>Un-named</cp:lastModifiedBy>
  <cp:revision>1</cp:revision>
  <dcterms:created xsi:type="dcterms:W3CDTF">2026-07-19T13:11:49.591Z</dcterms:created>
  <dcterms:modified xsi:type="dcterms:W3CDTF">2026-07-19T13:11:49.592Z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