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Ommetryx Datenschutz verständlich erklärt</w:t>
      </w:r>
    </w:p>
    <w:p>
      <w:pPr/>
      <w:r>
        <w:t xml:space="preserve">Oct 22, 2026</w:t>
      </w:r>
      <w:r>
        <w:t xml:space="preserve"> · </w:t>
      </w:r>
      <w:r>
        <w:t xml:space="preserve">@Leonie</w:t>
      </w:r>
    </w:p>
    <w:p>
      <w:pPr>
        <w:pStyle w:val="Heading2"/>
      </w:pPr>
      <w:r>
        <w:t xml:space="preserve">Das Wichtigste in Kürze</w:t>
      </w:r>
    </w:p>
    <w:p>
      <w:pPr/>
      <w:r>
        <w:t xml:space="preserve">Unsere Grundlinie stimmt: Wir behandeln Körpermaße vorsichtshalber als Gesundheitsdaten und holen dafür eine ausdrückliche Einwilligung ein. Daraus folgen aber Pflichten, die wir noch nicht eingeplant hatten.</w:t>
      </w:r>
    </w:p>
    <w:p>
      <w:pPr>
        <w:pStyle w:val="ListParagraph"/>
        <w:numPr>
          <w:ilvl w:val="0"/>
          <w:numId w:val="2"/>
        </w:numPr>
      </w:pPr>
      <w:r>
        <w:rPr>
          <w:b/>
        </w:rPr>
        <w:t xml:space="preserve">Grundregel des Datenschutzes:</w:t>
      </w:r>
      <w:r>
        <w:t xml:space="preserve"> Mit persönlichen Daten darf man erst einmal gar nichts machen, außer man hat einen erlaubten Grund und hält sich an Regeln.</w:t>
      </w:r>
    </w:p>
    <w:p>
      <w:pPr>
        <w:pStyle w:val="ListParagraph"/>
        <w:numPr>
          <w:ilvl w:val="0"/>
          <w:numId w:val="2"/>
        </w:numPr>
      </w:pPr>
      <w:r>
        <w:rPr>
          <w:b/>
        </w:rPr>
        <w:t xml:space="preserve">Unsere bisherigen Entscheidungen passen:</w:t>
      </w:r>
      <w:r>
        <w:t xml:space="preserve"> Einwilligung vor der Maßeingabe, Gewicht nie speichern, getrennte und verschlüsselte Daten, keine Maß-Historie, „Mein Ommetryx“ für Auskunft und Löschung.</w:t>
      </w:r>
    </w:p>
    <w:p>
      <w:pPr>
        <w:pStyle w:val="ListParagraph"/>
        <w:numPr>
          <w:ilvl w:val="0"/>
          <w:numId w:val="2"/>
        </w:numPr>
      </w:pPr>
      <w:r>
        <w:rPr>
          <w:b/>
        </w:rPr>
        <w:t xml:space="preserve">Neu dazugekommen:</w:t>
      </w:r>
      <w:r>
        <w:t xml:space="preserve"> eine Datenschutz-Folgenabschätzung, ein Datenschutzbeauftragter, drei getrennte Einwilligungen (Maße, Umfrage-Mail, Lernen für alle) und Verträge mit Render, Brevo und den Händlern.</w:t>
      </w:r>
    </w:p>
    <w:p>
      <w:pPr>
        <w:pStyle w:val="ListParagraph"/>
        <w:numPr>
          <w:ilvl w:val="0"/>
          <w:numId w:val="2"/>
        </w:numPr>
      </w:pPr>
      <w:r>
        <w:rPr>
          <w:b/>
        </w:rPr>
        <w:t xml:space="preserve">Das größte Risiko ist ein Datenleck.</w:t>
      </w:r>
      <w:r>
        <w:t xml:space="preserve"> Jede betroffene Kundin kann Schadensersatz verlangen, nach dem BGH etwa 100 € pro Person schon für den bloßen Kontrollverlust. Bei vielen Profilen wird das existenzbedrohend.</w:t>
      </w:r>
    </w:p>
    <w:p>
      <w:pPr>
        <w:pStyle w:val="ListParagraph"/>
        <w:numPr>
          <w:ilvl w:val="0"/>
          <w:numId w:val="2"/>
        </w:numPr>
      </w:pPr>
      <w:r>
        <w:rPr>
          <w:b/>
        </w:rPr>
        <w:t xml:space="preserve">Vor dem echten Start eine UG oder GmbH gründen.</w:t>
      </w:r>
      <w:r>
        <w:t xml:space="preserve"> Sonst haften wir möglicherweise persönlich mit unserem Privatvermögen.</w:t>
      </w:r>
    </w:p>
    <w:p>
      <w:pPr/>
      <w:r>
        <w:t xml:space="preserve">Dieses Dokument ist keine Rechtsberatung. Es fasst die Recherche vom 21.10.2026 zusammen und bereitet das Gespräch mit einer Anwältin oder einem Anwalt vor.</w:t>
      </w:r>
    </w:p>
    <w:p>
      <w:pPr>
        <w:pStyle w:val="Heading2"/>
      </w:pPr>
      <w:r>
        <w:t xml:space="preserve">Welche Gesetze es gibt</w:t>
      </w:r>
    </w:p>
    <w:p>
      <w:pPr/>
      <w:r>
        <w:t xml:space="preserve">Fünf Gesetze betreffen uns, fast alles Wichtige steht in der DSGVO.</w:t>
      </w:r>
    </w:p>
    <w:tbl>
      <w:tblPr>
        <w:tblStyle w:val="TableGrid"/>
        <w:tblW w:w="0" w:type="auto"/>
        <w:tblLayout w:type="fixed"/>
        <w:tblLook w:val="04A0" w:firstRow="1" w:lastRow="0" w:firstColumn="0" w:lastColumn="0" w:noHBand="0" w:noVBand="1"/>
      </w:tblPr>
      <w:tblGrid>
        <w:gridCol w:w="3120"/>
        <w:gridCol w:w="2912"/>
        <w:gridCol w:w="3328"/>
      </w:tblGrid>
      <w:tr>
        <w:trPr>
          <w:tblHeader/>
        </w:trPr>
        <w:tc>
          <w:tcPr>
            <w:tcW w:w="3120" w:type="dxa"/>
            <w:shd w:val="clear" w:color="auto" w:fill="F2F2F2"/>
          </w:tcPr>
          <w:p>
            <w:pPr/>
            <w:r>
              <w:t xml:space="preserve">Gesetz</w:t>
            </w:r>
          </w:p>
        </w:tc>
        <w:tc>
          <w:tcPr>
            <w:tcW w:w="2912" w:type="dxa"/>
            <w:shd w:val="clear" w:color="auto" w:fill="F2F2F2"/>
          </w:tcPr>
          <w:p>
            <w:pPr/>
            <w:r>
              <w:t xml:space="preserve">Wofür es da ist</w:t>
            </w:r>
          </w:p>
        </w:tc>
        <w:tc>
          <w:tcPr>
            <w:tcW w:w="3328" w:type="dxa"/>
            <w:shd w:val="clear" w:color="auto" w:fill="F2F2F2"/>
          </w:tcPr>
          <w:p>
            <w:pPr/>
            <w:r>
              <w:t xml:space="preserve">Was es für uns regelt</w:t>
            </w:r>
          </w:p>
        </w:tc>
      </w:tr>
      <w:tr>
        <w:tc>
          <w:tcPr>
            <w:tcW w:w="3120" w:type="dxa"/>
          </w:tcPr>
          <w:p>
            <w:pPr/>
            <w:r>
              <w:rPr>
                <w:b/>
              </w:rPr>
              <w:t xml:space="preserve">DSGVO</w:t>
            </w:r>
            <w:r>
              <w:t xml:space="preserve"> (Datenschutz-Grundverordnung)</w:t>
            </w:r>
          </w:p>
        </w:tc>
        <w:tc>
          <w:tcPr>
            <w:tcW w:w="2912" w:type="dxa"/>
          </w:tcPr>
          <w:p>
            <w:pPr/>
            <w:r>
              <w:t xml:space="preserve">Das EU-weite Grundgesetz für alle persönlichen Daten</w:t>
            </w:r>
          </w:p>
        </w:tc>
        <w:tc>
          <w:tcPr>
            <w:tcW w:w="3328" w:type="dxa"/>
          </w:tcPr>
          <w:p>
            <w:pPr/>
            <w:r>
              <w:t xml:space="preserve">Einwilligung, Rechte der Kundin, Rollen, Pannen, Bußgelder</w:t>
            </w:r>
          </w:p>
        </w:tc>
      </w:tr>
      <w:tr>
        <w:tc>
          <w:tcPr>
            <w:tcW w:w="3120" w:type="dxa"/>
          </w:tcPr>
          <w:p>
            <w:pPr/>
            <w:r>
              <w:rPr>
                <w:b/>
              </w:rPr>
              <w:t xml:space="preserve">BDSG</w:t>
            </w:r>
            <w:r>
              <w:t xml:space="preserve"> (Bundesdatenschutzgesetz)</w:t>
            </w:r>
          </w:p>
        </w:tc>
        <w:tc>
          <w:tcPr>
            <w:tcW w:w="2912" w:type="dxa"/>
          </w:tcPr>
          <w:p>
            <w:pPr/>
            <w:r>
              <w:t xml:space="preserve">Deutsche Ergänzungen zur DSGVO</w:t>
            </w:r>
          </w:p>
        </w:tc>
        <w:tc>
          <w:tcPr>
            <w:tcW w:w="3328" w:type="dxa"/>
          </w:tcPr>
          <w:p>
            <w:pPr/>
            <w:r>
              <w:t xml:space="preserve">Wann wir einen Datenschutzbeauftragten brauchen</w:t>
            </w:r>
          </w:p>
        </w:tc>
      </w:tr>
      <w:tr>
        <w:tc>
          <w:tcPr>
            <w:tcW w:w="3120" w:type="dxa"/>
          </w:tcPr>
          <w:p>
            <w:pPr/>
            <w:r>
              <w:rPr>
                <w:b/>
              </w:rPr>
              <w:t xml:space="preserve">TDDDG</w:t>
            </w:r>
            <w:r>
              <w:t xml:space="preserve"> (früher TTDSG)</w:t>
            </w:r>
          </w:p>
        </w:tc>
        <w:tc>
          <w:tcPr>
            <w:tcW w:w="2912" w:type="dxa"/>
          </w:tcPr>
          <w:p>
            <w:pPr/>
            <w:r>
              <w:t xml:space="preserve">Was eine Webseite auf dem Gerät der Nutzerin speichern darf</w:t>
            </w:r>
          </w:p>
        </w:tc>
        <w:tc>
          <w:tcPr>
            <w:tcW w:w="3328" w:type="dxa"/>
          </w:tcPr>
          <w:p>
            <w:pPr/>
            <w:r>
              <w:t xml:space="preserve">Cookies und localStorage im Widget</w:t>
            </w:r>
          </w:p>
        </w:tc>
      </w:tr>
      <w:tr>
        <w:tc>
          <w:tcPr>
            <w:tcW w:w="3120" w:type="dxa"/>
          </w:tcPr>
          <w:p>
            <w:pPr/>
            <w:r>
              <w:rPr>
                <w:b/>
              </w:rPr>
              <w:t xml:space="preserve">UWG</w:t>
            </w:r>
            <w:r>
              <w:t xml:space="preserve"> (Gesetz gegen unlauteren Wettbewerb)</w:t>
            </w:r>
          </w:p>
        </w:tc>
        <w:tc>
          <w:tcPr>
            <w:tcW w:w="2912" w:type="dxa"/>
          </w:tcPr>
          <w:p>
            <w:pPr/>
            <w:r>
              <w:t xml:space="preserve">Fairer Wettbewerb, Werbe-Mails</w:t>
            </w:r>
          </w:p>
        </w:tc>
        <w:tc>
          <w:tcPr>
            <w:tcW w:w="3328" w:type="dxa"/>
          </w:tcPr>
          <w:p>
            <w:pPr/>
            <w:r>
              <w:t xml:space="preserve">Umfrage-Mail, Abmahnungen durch Konkurrenten</w:t>
            </w:r>
          </w:p>
        </w:tc>
      </w:tr>
      <w:tr>
        <w:tc>
          <w:tcPr>
            <w:tcW w:w="3120" w:type="dxa"/>
          </w:tcPr>
          <w:p>
            <w:pPr/>
            <w:r>
              <w:rPr>
                <w:b/>
              </w:rPr>
              <w:t xml:space="preserve">BFSG</w:t>
            </w:r>
            <w:r>
              <w:t xml:space="preserve"> (Barrierefreiheitsstärkungsgesetz)</w:t>
            </w:r>
          </w:p>
        </w:tc>
        <w:tc>
          <w:tcPr>
            <w:tcW w:w="2912" w:type="dxa"/>
          </w:tcPr>
          <w:p>
            <w:pPr/>
            <w:r>
              <w:t xml:space="preserve">Barrierefreie Online-Shops</w:t>
            </w:r>
          </w:p>
        </w:tc>
        <w:tc>
          <w:tcPr>
            <w:tcW w:w="3328" w:type="dxa"/>
          </w:tcPr>
          <w:p>
            <w:pPr/>
            <w:r>
              <w:t xml:space="preserve">Händler verlangen ein barrierefreies Widget</w:t>
            </w:r>
          </w:p>
        </w:tc>
      </w:tr>
    </w:tbl>
    <w:p>
      <w:pPr/>
      <w:r>
        <w:rPr>
          <w:b/>
        </w:rPr>
        <w:t xml:space="preserve">So liest man eine Fundstelle:</w:t>
      </w:r>
      <w:r>
        <w:t xml:space="preserve"> „Art. 9 Abs. 2 lit. a DSGVO“ heißt Artikel 9, Absatz 2, Buchstabe a der DSGVO. Bei deutschen Gesetzen steht statt „Art.“ ein „§“ (Paragraf), zum Beispiel „§ 38 BDSG“.</w:t>
      </w:r>
    </w:p>
    <w:p>
      <w:pPr>
        <w:pStyle w:val="Heading2"/>
      </w:pPr>
      <w:r>
        <w:t xml:space="preserve">Die wichtigsten DSGVO-Artikel</w:t>
      </w:r>
    </w:p>
    <w:p>
      <w:pPr/>
      <w:r>
        <w:t xml:space="preserve">Artikel 9 ist für uns der wichtigste, weil er festlegt, wie streng wir mit den Körpermaßen umgehen müssen. Die übrigen Artikel regeln, was daraus folgt.</w:t>
      </w:r>
    </w:p>
    <w:tbl>
      <w:tblPr>
        <w:tblStyle w:val="TableGrid"/>
        <w:tblW w:w="0" w:type="auto"/>
        <w:tblLayout w:type="fixed"/>
        <w:tblLook w:val="04A0" w:firstRow="1" w:lastRow="0" w:firstColumn="0" w:lastColumn="0" w:noHBand="0" w:noVBand="1"/>
      </w:tblPr>
      <w:tblGrid>
        <w:gridCol w:w="2374"/>
        <w:gridCol w:w="3118"/>
        <w:gridCol w:w="3868"/>
      </w:tblGrid>
      <w:tr>
        <w:trPr>
          <w:tblHeader/>
        </w:trPr>
        <w:tc>
          <w:tcPr>
            <w:tcW w:w="2374" w:type="dxa"/>
            <w:shd w:val="clear" w:color="auto" w:fill="F2F2F2"/>
          </w:tcPr>
          <w:p>
            <w:pPr/>
            <w:r>
              <w:t xml:space="preserve">Artikel</w:t>
            </w:r>
          </w:p>
        </w:tc>
        <w:tc>
          <w:tcPr>
            <w:tcW w:w="3118" w:type="dxa"/>
            <w:shd w:val="clear" w:color="auto" w:fill="F2F2F2"/>
          </w:tcPr>
          <w:p>
            <w:pPr/>
            <w:r>
              <w:t xml:space="preserve">Was er sagt (einfach)</w:t>
            </w:r>
          </w:p>
        </w:tc>
        <w:tc>
          <w:tcPr>
            <w:tcW w:w="3868" w:type="dxa"/>
            <w:shd w:val="clear" w:color="auto" w:fill="F2F2F2"/>
          </w:tcPr>
          <w:p>
            <w:pPr/>
            <w:r>
              <w:t xml:space="preserve">Was das für Ommetryx heißt</w:t>
            </w:r>
          </w:p>
        </w:tc>
      </w:tr>
      <w:tr>
        <w:tc>
          <w:tcPr>
            <w:tcW w:w="2374" w:type="dxa"/>
          </w:tcPr>
          <w:p>
            <w:pPr/>
            <w:r>
              <w:rPr>
                <w:b/>
              </w:rPr>
              <w:t xml:space="preserve">Art. 6</w:t>
            </w:r>
            <w:r>
              <w:t xml:space="preserve"> Rechtsgrundlagen</w:t>
            </w:r>
          </w:p>
        </w:tc>
        <w:tc>
          <w:tcPr>
            <w:tcW w:w="3118" w:type="dxa"/>
          </w:tcPr>
          <w:p>
            <w:pPr/>
            <w:r>
              <w:t xml:space="preserve">Normale Daten darf man nur mit einem erlaubten Grund verarbeiten. Für uns wichtig: Einwilligung (lit. a), Vertrag (lit. b), berechtigtes Interesse (lit. f)</w:t>
            </w:r>
          </w:p>
        </w:tc>
        <w:tc>
          <w:tcPr>
            <w:tcW w:w="3868" w:type="dxa"/>
          </w:tcPr>
          <w:p>
            <w:pPr/>
            <w:r>
              <w:t xml:space="preserve">Login-Code verschicken = Vertrag. Umfrage-Mail = Einwilligung. Retouren-Auswertung des Händlers = berechtigtes Interesse</w:t>
            </w:r>
          </w:p>
        </w:tc>
      </w:tr>
      <w:tr>
        <w:tc>
          <w:tcPr>
            <w:tcW w:w="2374" w:type="dxa"/>
          </w:tcPr>
          <w:p>
            <w:pPr/>
            <w:r>
              <w:rPr>
                <w:b/>
              </w:rPr>
              <w:t xml:space="preserve">Art. 9</w:t>
            </w:r>
            <w:r>
              <w:t xml:space="preserve"> Besonders sensible Daten</w:t>
            </w:r>
          </w:p>
        </w:tc>
        <w:tc>
          <w:tcPr>
            <w:tcW w:w="3118" w:type="dxa"/>
          </w:tcPr>
          <w:p>
            <w:pPr/>
            <w:r>
              <w:t xml:space="preserve">Gesundheitsdaten und ähnliche sind grundsätzlich verboten, außer eine Ausnahme greift. Der EuGH zählt auch Daten dazu, aus denen man Gesundheit nur indirekt ableiten kann</w:t>
            </w:r>
          </w:p>
        </w:tc>
        <w:tc>
          <w:tcPr>
            <w:tcW w:w="3868" w:type="dxa"/>
          </w:tcPr>
          <w:p>
            <w:pPr/>
            <w:r>
              <w:t xml:space="preserve">Körpermaße behandeln wir vorsorglich als Gesundheitsdaten (Gewicht plus Größe ergibt den BMI, ein wachsender Bauchumfang kann auf Schwangerschaft hindeuten)</w:t>
            </w:r>
          </w:p>
        </w:tc>
      </w:tr>
      <w:tr>
        <w:tc>
          <w:tcPr>
            <w:tcW w:w="2374" w:type="dxa"/>
          </w:tcPr>
          <w:p>
            <w:pPr/>
            <w:r>
              <w:rPr>
                <w:b/>
              </w:rPr>
              <w:t xml:space="preserve">Art. 9 Abs. 2 lit. a</w:t>
            </w:r>
          </w:p>
        </w:tc>
        <w:tc>
          <w:tcPr>
            <w:tcW w:w="3118" w:type="dxa"/>
          </w:tcPr>
          <w:p>
            <w:pPr/>
            <w:r>
              <w:t xml:space="preserve">Die Ausnahme: ausdrückliche Einwilligung</w:t>
            </w:r>
          </w:p>
        </w:tc>
        <w:tc>
          <w:tcPr>
            <w:tcW w:w="3868" w:type="dxa"/>
          </w:tcPr>
          <w:p>
            <w:pPr/>
            <w:r>
              <w:t xml:space="preserve">Die Kundin stimmt vor der Maßeingabe bewusst zu. Vertrag oder berechtigtes Interesse reichen für Gesundheitsdaten nicht</w:t>
            </w:r>
          </w:p>
        </w:tc>
      </w:tr>
      <w:tr>
        <w:tc>
          <w:tcPr>
            <w:tcW w:w="2374" w:type="dxa"/>
          </w:tcPr>
          <w:p>
            <w:pPr/>
            <w:r>
              <w:rPr>
                <w:b/>
              </w:rPr>
              <w:t xml:space="preserve">Art. 7</w:t>
            </w:r>
            <w:r>
              <w:t xml:space="preserve"> Regeln für Einwilligungen</w:t>
            </w:r>
          </w:p>
        </w:tc>
        <w:tc>
          <w:tcPr>
            <w:tcW w:w="3118" w:type="dxa"/>
          </w:tcPr>
          <w:p>
            <w:pPr/>
            <w:r>
              <w:t xml:space="preserve">Zustimmung muss nachweisbar sein, Widerruf so einfach wie Zustimmung, keine Leistung darf an unnötige Daten gekoppelt werden</w:t>
            </w:r>
          </w:p>
        </w:tc>
        <w:tc>
          <w:tcPr>
            <w:tcW w:w="3868" w:type="dxa"/>
          </w:tcPr>
          <w:p>
            <w:pPr/>
            <w:r>
              <w:t xml:space="preserve">Wir speichern wann und welcher Text. Ein-Klick-Widerruf. Größentabelle funktioniert auch ohne Einwilligung</w:t>
            </w:r>
          </w:p>
        </w:tc>
      </w:tr>
      <w:tr>
        <w:tc>
          <w:tcPr>
            <w:tcW w:w="2374" w:type="dxa"/>
          </w:tcPr>
          <w:p>
            <w:pPr/>
            <w:r>
              <w:rPr>
                <w:b/>
              </w:rPr>
              <w:t xml:space="preserve">Art. 8</w:t>
            </w:r>
            <w:r>
              <w:t xml:space="preserve"> Mindestalter</w:t>
            </w:r>
          </w:p>
        </w:tc>
        <w:tc>
          <w:tcPr>
            <w:tcW w:w="3118" w:type="dxa"/>
          </w:tcPr>
          <w:p>
            <w:pPr/>
            <w:r>
              <w:t xml:space="preserve">Online-Einwilligung allein erst ab 16 Jahren</w:t>
            </w:r>
          </w:p>
        </w:tc>
        <w:tc>
          <w:tcPr>
            <w:tcW w:w="3868" w:type="dxa"/>
          </w:tcPr>
          <w:p>
            <w:pPr/>
            <w:r>
              <w:t xml:space="preserve">Abfrage „Ich bin mindestens 16“; Altersgruppe „unter 16“ gibt es nicht</w:t>
            </w:r>
          </w:p>
        </w:tc>
      </w:tr>
      <w:tr>
        <w:tc>
          <w:tcPr>
            <w:tcW w:w="2374" w:type="dxa"/>
          </w:tcPr>
          <w:p>
            <w:pPr/>
            <w:r>
              <w:rPr>
                <w:b/>
              </w:rPr>
              <w:t xml:space="preserve">Art. 12 und 13</w:t>
            </w:r>
            <w:r>
              <w:t xml:space="preserve"> Informieren</w:t>
            </w:r>
          </w:p>
        </w:tc>
        <w:tc>
          <w:tcPr>
            <w:tcW w:w="3118" w:type="dxa"/>
          </w:tcPr>
          <w:p>
            <w:pPr/>
            <w:r>
              <w:t xml:space="preserve">Vor der Eingabe verständlich erklären: wer, wofür, wie lange, an wen, welche Rechte</w:t>
            </w:r>
          </w:p>
        </w:tc>
        <w:tc>
          <w:tcPr>
            <w:tcW w:w="3868" w:type="dxa"/>
          </w:tcPr>
          <w:p>
            <w:pPr/>
            <w:r>
              <w:t xml:space="preserve">Datenschutzerklärung im Widget verlinkt, vor der Maßeingabe</w:t>
            </w:r>
          </w:p>
        </w:tc>
      </w:tr>
      <w:tr>
        <w:tc>
          <w:tcPr>
            <w:tcW w:w="2374" w:type="dxa"/>
          </w:tcPr>
          <w:p>
            <w:pPr/>
            <w:r>
              <w:rPr>
                <w:b/>
              </w:rPr>
              <w:t xml:space="preserve">Art. 15 bis 20</w:t>
            </w:r>
            <w:r>
              <w:t xml:space="preserve"> Rechte der Kundin</w:t>
            </w:r>
          </w:p>
        </w:tc>
        <w:tc>
          <w:tcPr>
            <w:tcW w:w="3118" w:type="dxa"/>
          </w:tcPr>
          <w:p>
            <w:pPr/>
            <w:r>
              <w:t xml:space="preserve">Auskunft (15), Berichtigung (16), Löschung (17), Daten als Datei (20). Antwort innerhalb eines Monats</w:t>
            </w:r>
          </w:p>
        </w:tc>
        <w:tc>
          <w:tcPr>
            <w:tcW w:w="3868" w:type="dxa"/>
          </w:tcPr>
          <w:p>
            <w:pPr/>
            <w:r>
              <w:t xml:space="preserve">„Mein Ommetryx“ deckt das fast vollständig ab</w:t>
            </w:r>
          </w:p>
        </w:tc>
      </w:tr>
      <w:tr>
        <w:tc>
          <w:tcPr>
            <w:tcW w:w="2374" w:type="dxa"/>
          </w:tcPr>
          <w:p>
            <w:pPr/>
            <w:r>
              <w:rPr>
                <w:b/>
              </w:rPr>
              <w:t xml:space="preserve">Art. 25</w:t>
            </w:r>
            <w:r>
              <w:t xml:space="preserve"> Datenschutz von Anfang an</w:t>
            </w:r>
          </w:p>
        </w:tc>
        <w:tc>
          <w:tcPr>
            <w:tcW w:w="3118" w:type="dxa"/>
          </w:tcPr>
          <w:p>
            <w:pPr/>
            <w:r>
              <w:t xml:space="preserve">Datenschutz muss beim Bauen eingeplant werden</w:t>
            </w:r>
          </w:p>
        </w:tc>
        <w:tc>
          <w:tcPr>
            <w:tcW w:w="3868" w:type="dxa"/>
          </w:tcPr>
          <w:p>
            <w:pPr/>
            <w:r>
              <w:t xml:space="preserve">Getrennte Tabellen, Verschlüsselung, kein gespeichertes Gewicht, keine Maß-Historie</w:t>
            </w:r>
          </w:p>
        </w:tc>
      </w:tr>
      <w:tr>
        <w:tc>
          <w:tcPr>
            <w:tcW w:w="2374" w:type="dxa"/>
          </w:tcPr>
          <w:p>
            <w:pPr/>
            <w:r>
              <w:rPr>
                <w:b/>
              </w:rPr>
              <w:t xml:space="preserve">Art. 26</w:t>
            </w:r>
            <w:r>
              <w:t xml:space="preserve"> Gemeinsam Verantwortliche</w:t>
            </w:r>
          </w:p>
        </w:tc>
        <w:tc>
          <w:tcPr>
            <w:tcW w:w="3118" w:type="dxa"/>
          </w:tcPr>
          <w:p>
            <w:pPr/>
            <w:r>
              <w:t xml:space="preserve">Wenn zwei zusammen entscheiden, brauchen sie eine Vereinbarung</w:t>
            </w:r>
          </w:p>
        </w:tc>
        <w:tc>
          <w:tcPr>
            <w:tcW w:w="3868" w:type="dxa"/>
          </w:tcPr>
          <w:p>
            <w:pPr/>
            <w:r>
              <w:t xml:space="preserve">Gilt wahrscheinlich für das Erheben der Daten im Widget im Shop des Händlers</w:t>
            </w:r>
          </w:p>
        </w:tc>
      </w:tr>
      <w:tr>
        <w:tc>
          <w:tcPr>
            <w:tcW w:w="2374" w:type="dxa"/>
          </w:tcPr>
          <w:p>
            <w:pPr/>
            <w:r>
              <w:rPr>
                <w:b/>
              </w:rPr>
              <w:t xml:space="preserve">Art. 28</w:t>
            </w:r>
            <w:r>
              <w:t xml:space="preserve"> Auftragsverarbeitung</w:t>
            </w:r>
          </w:p>
        </w:tc>
        <w:tc>
          <w:tcPr>
            <w:tcW w:w="3118" w:type="dxa"/>
          </w:tcPr>
          <w:p>
            <w:pPr/>
            <w:r>
              <w:t xml:space="preserve">Ein Dienstleister arbeitet nur nach Weisung und braucht einen Vertrag (AVV)</w:t>
            </w:r>
          </w:p>
        </w:tc>
        <w:tc>
          <w:tcPr>
            <w:tcW w:w="3868" w:type="dxa"/>
          </w:tcPr>
          <w:p>
            <w:pPr/>
            <w:r>
              <w:t xml:space="preserve">Wir für den Händler bei der Retouren-Auswertung; Render und Brevo für uns</w:t>
            </w:r>
          </w:p>
        </w:tc>
      </w:tr>
      <w:tr>
        <w:tc>
          <w:tcPr>
            <w:tcW w:w="2374" w:type="dxa"/>
          </w:tcPr>
          <w:p>
            <w:pPr/>
            <w:r>
              <w:rPr>
                <w:b/>
              </w:rPr>
              <w:t xml:space="preserve">Art. 28 Abs. 10</w:t>
            </w:r>
          </w:p>
        </w:tc>
        <w:tc>
          <w:tcPr>
            <w:tcW w:w="3118" w:type="dxa"/>
          </w:tcPr>
          <w:p>
            <w:pPr/>
            <w:r>
              <w:t xml:space="preserve">Wer Daten des Auftraggebers für eigene Zwecke nutzt, wird selbst Verantwortlicher</w:t>
            </w:r>
          </w:p>
        </w:tc>
        <w:tc>
          <w:tcPr>
            <w:tcW w:w="3868" w:type="dxa"/>
          </w:tcPr>
          <w:p>
            <w:pPr/>
            <w:r>
              <w:t xml:space="preserve">Bestelldaten des Händlers nicht für unser eigenes Lernen verwenden, sonst ändert sich unsere Rolle</w:t>
            </w:r>
          </w:p>
        </w:tc>
      </w:tr>
      <w:tr>
        <w:tc>
          <w:tcPr>
            <w:tcW w:w="2374" w:type="dxa"/>
          </w:tcPr>
          <w:p>
            <w:pPr/>
            <w:r>
              <w:rPr>
                <w:b/>
              </w:rPr>
              <w:t xml:space="preserve">Art. 30</w:t>
            </w:r>
            <w:r>
              <w:t xml:space="preserve"> Verzeichnis</w:t>
            </w:r>
          </w:p>
        </w:tc>
        <w:tc>
          <w:tcPr>
            <w:tcW w:w="3118" w:type="dxa"/>
          </w:tcPr>
          <w:p>
            <w:pPr/>
            <w:r>
              <w:t xml:space="preserve">Eine Liste aller Datenverarbeitungen</w:t>
            </w:r>
          </w:p>
        </w:tc>
        <w:tc>
          <w:tcPr>
            <w:tcW w:w="3868" w:type="dxa"/>
          </w:tcPr>
          <w:p>
            <w:pPr/>
            <w:r>
              <w:t xml:space="preserve">Pflicht für uns, weil wir sensible Daten verarbeiten, obwohl wir klein sind</w:t>
            </w:r>
          </w:p>
        </w:tc>
      </w:tr>
      <w:tr>
        <w:tc>
          <w:tcPr>
            <w:tcW w:w="2374" w:type="dxa"/>
          </w:tcPr>
          <w:p>
            <w:pPr/>
            <w:r>
              <w:rPr>
                <w:b/>
              </w:rPr>
              <w:t xml:space="preserve">Art. 33 und 34</w:t>
            </w:r>
            <w:r>
              <w:t xml:space="preserve"> Datenpannen</w:t>
            </w:r>
          </w:p>
        </w:tc>
        <w:tc>
          <w:tcPr>
            <w:tcW w:w="3118" w:type="dxa"/>
          </w:tcPr>
          <w:p>
            <w:pPr/>
            <w:r>
              <w:t xml:space="preserve">Panne innerhalb von 72 Stunden der Behörde melden; bei hohem Risiko auch die Betroffenen informieren</w:t>
            </w:r>
          </w:p>
        </w:tc>
        <w:tc>
          <w:tcPr>
            <w:tcW w:w="3868" w:type="dxa"/>
          </w:tcPr>
          <w:p>
            <w:pPr/>
            <w:r>
              <w:t xml:space="preserve">Zuständig ist das BayLDA. Bei Gesundheitsdaten informieren wir die Kundinnen in der Regel mit. Shopify will zusätzlich eine Meldung binnen 24 Stunden</w:t>
            </w:r>
          </w:p>
        </w:tc>
      </w:tr>
      <w:tr>
        <w:tc>
          <w:tcPr>
            <w:tcW w:w="2374" w:type="dxa"/>
          </w:tcPr>
          <w:p>
            <w:pPr/>
            <w:r>
              <w:rPr>
                <w:b/>
              </w:rPr>
              <w:t xml:space="preserve">Art. 35</w:t>
            </w:r>
            <w:r>
              <w:t xml:space="preserve"> Datenschutz-Folgenabschätzung</w:t>
            </w:r>
          </w:p>
        </w:tc>
        <w:tc>
          <w:tcPr>
            <w:tcW w:w="3118" w:type="dxa"/>
          </w:tcPr>
          <w:p>
            <w:pPr/>
            <w:r>
              <w:t xml:space="preserve">Vor riskanten Verarbeitungen eine schriftliche Risikoanalyse</w:t>
            </w:r>
          </w:p>
        </w:tc>
        <w:tc>
          <w:tcPr>
            <w:tcW w:w="3868" w:type="dxa"/>
          </w:tcPr>
          <w:p>
            <w:pPr/>
            <w:r>
              <w:t xml:space="preserve">Sehr wahrscheinlich Pflicht: sensible Daten, neue Technik, Zusammenführen von Profil und Bestelldaten</w:t>
            </w:r>
          </w:p>
        </w:tc>
      </w:tr>
      <w:tr>
        <w:tc>
          <w:tcPr>
            <w:tcW w:w="2374" w:type="dxa"/>
          </w:tcPr>
          <w:p>
            <w:pPr/>
            <w:r>
              <w:rPr>
                <w:b/>
              </w:rPr>
              <w:t xml:space="preserve">Art. 44 ff.</w:t>
            </w:r>
            <w:r>
              <w:t xml:space="preserve"> Daten außerhalb der EU</w:t>
            </w:r>
          </w:p>
        </w:tc>
        <w:tc>
          <w:tcPr>
            <w:tcW w:w="3118" w:type="dxa"/>
          </w:tcPr>
          <w:p>
            <w:pPr/>
            <w:r>
              <w:t xml:space="preserve">Daten dürfen nur unter Bedingungen z. B. in die USA</w:t>
            </w:r>
          </w:p>
        </w:tc>
        <w:tc>
          <w:tcPr>
            <w:tcW w:w="3868" w:type="dxa"/>
          </w:tcPr>
          <w:p>
            <w:pPr/>
            <w:r>
              <w:t xml:space="preserve">Render ist eine US-Firma, auch mit Servern in Frankfurt. Erlaubt über das Data Privacy Framework, das aber vor Gericht angefochten ist</w:t>
            </w:r>
          </w:p>
        </w:tc>
      </w:tr>
      <w:tr>
        <w:tc>
          <w:tcPr>
            <w:tcW w:w="2374" w:type="dxa"/>
          </w:tcPr>
          <w:p>
            <w:pPr/>
            <w:r>
              <w:rPr>
                <w:b/>
              </w:rPr>
              <w:t xml:space="preserve">Art. 82</w:t>
            </w:r>
            <w:r>
              <w:t xml:space="preserve"> Schadensersatz</w:t>
            </w:r>
          </w:p>
        </w:tc>
        <w:tc>
          <w:tcPr>
            <w:tcW w:w="3118" w:type="dxa"/>
          </w:tcPr>
          <w:p>
            <w:pPr/>
            <w:r>
              <w:t xml:space="preserve">Jede Betroffene kann Geld verlangen</w:t>
            </w:r>
          </w:p>
        </w:tc>
        <w:tc>
          <w:tcPr>
            <w:tcW w:w="3868" w:type="dxa"/>
          </w:tcPr>
          <w:p>
            <w:pPr/>
            <w:r>
              <w:t xml:space="preserve">Schon der bloße Kontrollverlust kann etwa 100 € pro Person wert sein (BGH VI ZR 10/24). Das ist unser größtes finanzielles Risiko</w:t>
            </w:r>
          </w:p>
        </w:tc>
      </w:tr>
      <w:tr>
        <w:tc>
          <w:tcPr>
            <w:tcW w:w="2374" w:type="dxa"/>
          </w:tcPr>
          <w:p>
            <w:pPr/>
            <w:r>
              <w:rPr>
                <w:b/>
              </w:rPr>
              <w:t xml:space="preserve">Art. 83</w:t>
            </w:r>
            <w:r>
              <w:t xml:space="preserve"> Bußgelder</w:t>
            </w:r>
          </w:p>
        </w:tc>
        <w:tc>
          <w:tcPr>
            <w:tcW w:w="3118" w:type="dxa"/>
          </w:tcPr>
          <w:p>
            <w:pPr/>
            <w:r>
              <w:t xml:space="preserve">Bis 20 Mio. € oder 4 % des weltweiten Jahresumsatzes</w:t>
            </w:r>
          </w:p>
        </w:tc>
        <w:tc>
          <w:tcPr>
            <w:tcW w:w="3868" w:type="dxa"/>
          </w:tcPr>
          <w:p>
            <w:pPr/>
            <w:r>
              <w:t xml:space="preserve">Bei Startups in der Praxis deutlich weniger, aber nicht null</w:t>
            </w:r>
          </w:p>
        </w:tc>
      </w:tr>
    </w:tbl>
    <w:p>
      <w:pPr>
        <w:pStyle w:val="Heading2"/>
      </w:pPr>
      <w:r>
        <w:t xml:space="preserve">Weitere Paragrafen</w:t>
      </w:r>
    </w:p>
    <w:p>
      <w:pPr/>
      <w:r>
        <w:t xml:space="preserve">Aus den deutschen Gesetzen kommen zwei Überraschungen: die Pflicht zum Datenschutzbeauftragten trotz kleinem Team und die Einstufung der Umfrage-Mail als Werbung.</w:t>
      </w:r>
    </w:p>
    <w:tbl>
      <w:tblPr>
        <w:tblStyle w:val="TableGrid"/>
        <w:tblW w:w="0" w:type="auto"/>
        <w:tblLayout w:type="fixed"/>
        <w:tblLook w:val="04A0" w:firstRow="1" w:lastRow="0" w:firstColumn="0" w:lastColumn="0" w:noHBand="0" w:noVBand="1"/>
      </w:tblPr>
      <w:tblGrid>
        <w:gridCol w:w="2730"/>
        <w:gridCol w:w="3415"/>
        <w:gridCol w:w="3215"/>
      </w:tblGrid>
      <w:tr>
        <w:trPr>
          <w:tblHeader/>
        </w:trPr>
        <w:tc>
          <w:tcPr>
            <w:tcW w:w="2730" w:type="dxa"/>
            <w:shd w:val="clear" w:color="auto" w:fill="F2F2F2"/>
          </w:tcPr>
          <w:p>
            <w:pPr/>
            <w:r>
              <w:t xml:space="preserve">Fundstelle</w:t>
            </w:r>
          </w:p>
        </w:tc>
        <w:tc>
          <w:tcPr>
            <w:tcW w:w="3415" w:type="dxa"/>
            <w:shd w:val="clear" w:color="auto" w:fill="F2F2F2"/>
          </w:tcPr>
          <w:p>
            <w:pPr/>
            <w:r>
              <w:t xml:space="preserve">Was sie sagt (einfach)</w:t>
            </w:r>
          </w:p>
        </w:tc>
        <w:tc>
          <w:tcPr>
            <w:tcW w:w="3215" w:type="dxa"/>
            <w:shd w:val="clear" w:color="auto" w:fill="F2F2F2"/>
          </w:tcPr>
          <w:p>
            <w:pPr/>
            <w:r>
              <w:t xml:space="preserve">Was das für Ommetryx heißt</w:t>
            </w:r>
          </w:p>
        </w:tc>
      </w:tr>
      <w:tr>
        <w:tc>
          <w:tcPr>
            <w:tcW w:w="2730" w:type="dxa"/>
          </w:tcPr>
          <w:p>
            <w:pPr/>
            <w:r>
              <w:rPr>
                <w:b/>
              </w:rPr>
              <w:t xml:space="preserve">§ 38 BDSG</w:t>
            </w:r>
            <w:r>
              <w:t xml:space="preserve"> Datenschutzbeauftragter</w:t>
            </w:r>
          </w:p>
        </w:tc>
        <w:tc>
          <w:tcPr>
            <w:tcW w:w="3415" w:type="dxa"/>
          </w:tcPr>
          <w:p>
            <w:pPr/>
            <w:r>
              <w:t xml:space="preserve">Normalerweise erst ab 20 Personen, die ständig mit Daten arbeiten. Wer aber eine Datenschutz-Folgenabschätzung machen muss, braucht immer einen</w:t>
            </w:r>
          </w:p>
        </w:tc>
        <w:tc>
          <w:tcPr>
            <w:tcW w:w="3215" w:type="dxa"/>
          </w:tcPr>
          <w:p>
            <w:pPr/>
            <w:r>
              <w:t xml:space="preserve">Trifft uns sehr wahrscheinlich. Er kann extern sein. Der Bund will die Regel bis Ende 2026 abschaffen; beschlossen ist das noch nicht</w:t>
            </w:r>
          </w:p>
        </w:tc>
      </w:tr>
      <w:tr>
        <w:tc>
          <w:tcPr>
            <w:tcW w:w="2730" w:type="dxa"/>
          </w:tcPr>
          <w:p>
            <w:pPr/>
            <w:r>
              <w:rPr>
                <w:b/>
              </w:rPr>
              <w:t xml:space="preserve">§ 25 TDDDG</w:t>
            </w:r>
            <w:r>
              <w:t xml:space="preserve"> Speichern auf dem Gerät</w:t>
            </w:r>
          </w:p>
        </w:tc>
        <w:tc>
          <w:tcPr>
            <w:tcW w:w="3415" w:type="dxa"/>
          </w:tcPr>
          <w:p>
            <w:pPr/>
            <w:r>
              <w:t xml:space="preserve">Jedes Speichern und Auslesen im Browser braucht eine Einwilligung, außer es ist für einen Dienst unbedingt nötig, den die Nutzerin selbst will</w:t>
            </w:r>
          </w:p>
        </w:tc>
        <w:tc>
          <w:tcPr>
            <w:tcW w:w="3215" w:type="dxa"/>
          </w:tcPr>
          <w:p>
            <w:pPr/>
            <w:r>
              <w:t xml:space="preserve">Login nach Anmeldung: erlaubt. Eine Kennung nur für Kontrollgruppe oder Statistik: nicht erlaubt. Die Kontrollgruppe ordnen wir deshalb auf dem Server zu</w:t>
            </w:r>
          </w:p>
        </w:tc>
      </w:tr>
      <w:tr>
        <w:tc>
          <w:tcPr>
            <w:tcW w:w="2730" w:type="dxa"/>
          </w:tcPr>
          <w:p>
            <w:pPr/>
            <w:r>
              <w:rPr>
                <w:b/>
              </w:rPr>
              <w:t xml:space="preserve">§ 7 UWG</w:t>
            </w:r>
            <w:r>
              <w:t xml:space="preserve"> Werbe-Mails</w:t>
            </w:r>
          </w:p>
        </w:tc>
        <w:tc>
          <w:tcPr>
            <w:tcW w:w="3415" w:type="dxa"/>
          </w:tcPr>
          <w:p>
            <w:pPr/>
            <w:r>
              <w:t xml:space="preserve">Werbe-Mails nur mit Einwilligung. Der BGH zählt auch Zufriedenheitsumfragen dazu (VI ZR 225/17)</w:t>
            </w:r>
          </w:p>
        </w:tc>
        <w:tc>
          <w:tcPr>
            <w:tcW w:w="3215" w:type="dxa"/>
          </w:tcPr>
          <w:p>
            <w:pPr/>
            <w:r>
              <w:t xml:space="preserve">Die Mail „Hat es gepasst?“ braucht eine eigene Einwilligung, am besten mit Bestätigungslink (Double-Opt-In)</w:t>
            </w:r>
          </w:p>
        </w:tc>
      </w:tr>
      <w:tr>
        <w:tc>
          <w:tcPr>
            <w:tcW w:w="2730" w:type="dxa"/>
          </w:tcPr>
          <w:p>
            <w:pPr/>
            <w:r>
              <w:rPr>
                <w:b/>
              </w:rPr>
              <w:t xml:space="preserve">§ 7 Abs. 3 UWG</w:t>
            </w:r>
          </w:p>
        </w:tc>
        <w:tc>
          <w:tcPr>
            <w:tcW w:w="3415" w:type="dxa"/>
          </w:tcPr>
          <w:p>
            <w:pPr/>
            <w:r>
              <w:t xml:space="preserve">Ausnahme für Verkäufer, die ihren eigenen Kunden ähnliche Waren anbieten</w:t>
            </w:r>
          </w:p>
        </w:tc>
        <w:tc>
          <w:tcPr>
            <w:tcW w:w="3215" w:type="dxa"/>
          </w:tcPr>
          <w:p>
            <w:pPr/>
            <w:r>
              <w:t xml:space="preserve">Gilt für uns nicht, weil wir der Kundin nichts verkauft haben</w:t>
            </w:r>
          </w:p>
        </w:tc>
      </w:tr>
      <w:tr>
        <w:tc>
          <w:tcPr>
            <w:tcW w:w="2730" w:type="dxa"/>
          </w:tcPr>
          <w:p>
            <w:pPr/>
            <w:r>
              <w:rPr>
                <w:b/>
              </w:rPr>
              <w:t xml:space="preserve">§ 13 UWG</w:t>
            </w:r>
            <w:r>
              <w:t xml:space="preserve"> Abmahnungen</w:t>
            </w:r>
          </w:p>
        </w:tc>
        <w:tc>
          <w:tcPr>
            <w:tcW w:w="3415" w:type="dxa"/>
          </w:tcPr>
          <w:p>
            <w:pPr/>
            <w:r>
              <w:t xml:space="preserve">Konkurrenten dürfen Datenschutzverstöße abmahnen. Bei Firmen unter 250 Mitarbeitenden dürfen sie dafür keine Anwaltskosten verlangen</w:t>
            </w:r>
          </w:p>
        </w:tc>
        <w:tc>
          <w:tcPr>
            <w:tcW w:w="3215" w:type="dxa"/>
          </w:tcPr>
          <w:p>
            <w:pPr/>
            <w:r>
              <w:t xml:space="preserve">Den Verstoß müssen wir trotzdem abstellen. Achtung: Kommen andere Verstöße dazu, etwa im Impressum, können doch Kosten entstehen</w:t>
            </w:r>
          </w:p>
        </w:tc>
      </w:tr>
      <w:tr>
        <w:tc>
          <w:tcPr>
            <w:tcW w:w="2730" w:type="dxa"/>
          </w:tcPr>
          <w:p>
            <w:pPr/>
            <w:r>
              <w:rPr>
                <w:b/>
              </w:rPr>
              <w:t xml:space="preserve">AI Act</w:t>
            </w:r>
            <w:r>
              <w:t xml:space="preserve"> (KI-Verordnung)</w:t>
            </w:r>
          </w:p>
        </w:tc>
        <w:tc>
          <w:tcPr>
            <w:tcW w:w="3415" w:type="dxa"/>
          </w:tcPr>
          <w:p>
            <w:pPr/>
            <w:r>
              <w:t xml:space="preserve">Regelt KI-Systeme. Systeme, die nur nach festen, von Menschen festgelegten Regeln arbeiten, gelten eher nicht als KI</w:t>
            </w:r>
          </w:p>
        </w:tc>
        <w:tc>
          <w:tcPr>
            <w:tcW w:w="3215" w:type="dxa"/>
          </w:tcPr>
          <w:p>
            <w:pPr/>
            <w:r>
              <w:t xml:space="preserve">Unsere regelbasierte Logik fällt eher nicht darunter. Neu prüfen, wenn wir später Machine Learning einsetzen</w:t>
            </w:r>
          </w:p>
        </w:tc>
      </w:tr>
      <w:tr>
        <w:tc>
          <w:tcPr>
            <w:tcW w:w="2730" w:type="dxa"/>
          </w:tcPr>
          <w:p>
            <w:pPr/>
            <w:r>
              <w:rPr>
                <w:b/>
              </w:rPr>
              <w:t xml:space="preserve">BFSG</w:t>
            </w:r>
            <w:r>
              <w:t xml:space="preserve"> Barrierefreiheit</w:t>
            </w:r>
          </w:p>
        </w:tc>
        <w:tc>
          <w:tcPr>
            <w:tcW w:w="3415" w:type="dxa"/>
          </w:tcPr>
          <w:p>
            <w:pPr/>
            <w:r>
              <w:t xml:space="preserve">Online-Shops müssen seit 28.06.2025 barrierefrei sein, außer Kleinstunternehmen (unter 10 Beschäftigte und höchstens 2 Mio. € Umsatz)</w:t>
            </w:r>
          </w:p>
        </w:tc>
        <w:tc>
          <w:tcPr>
            <w:tcW w:w="3215" w:type="dxa"/>
          </w:tcPr>
          <w:p>
            <w:pPr/>
            <w:r>
              <w:t xml:space="preserve">Betrifft unsere Händler direkt, deshalb brauchen Widget und Einwilligungsdialog WCAG 2.1 AA</w:t>
            </w:r>
          </w:p>
        </w:tc>
      </w:tr>
    </w:tbl>
    <w:p>
      <w:pPr>
        <w:pStyle w:val="Heading2"/>
      </w:pPr>
      <w:r>
        <w:t xml:space="preserve">Wer ist wofür zuständig</w:t>
      </w:r>
    </w:p>
    <w:p>
      <w:pPr/>
      <w:r>
        <w:t xml:space="preserve">Wir haben je nach Datenfluss eine andere Rolle, und jede Rolle braucht einen eigenen Vertrag. Das ist der Teil, den ein Anwalt am dringendsten prüfen sollte.</w:t>
      </w:r>
    </w:p>
    <w:p>
      <w:pPr/>
      <w:r>
        <w:drawing>
          <wp:inline distT="0" distB="0" distL="0" distR="0">
            <wp:extent cx="5486400" cy="3543300"/>
            <wp:docPr id="1" name="image1" descr="Rollenmodell · 3 Ebenen plus Dienstleister"/>
            <a:graphic xmlns:a="http://schemas.openxmlformats.org/drawingml/2006/main">
              <a:graphicData uri="http://schemas.openxmlformats.org/drawingml/2006/picture">
                <pic:pic xmlns:pic="http://schemas.openxmlformats.org/drawingml/2006/picture">
                  <pic:nvPicPr>
                    <pic:cNvPr id="1" name="image1" descr="Rollenmodell · 3 Ebenen plus Dienstleister"/>
                    <pic:cNvPicPr/>
                  </pic:nvPicPr>
                  <pic:blipFill>
                    <a:blip r:embed="rId3"/>
                    <a:stretch>
                      <a:fillRect/>
                    </a:stretch>
                  </pic:blipFill>
                  <pic:spPr>
                    <a:xfrm>
                      <a:off x="0" y="0"/>
                      <a:ext cx="5486400" cy="3543300"/>
                    </a:xfrm>
                    <a:prstGeom prst="rect">
                      <a:avLst/>
                    </a:prstGeom>
                  </pic:spPr>
                </pic:pic>
              </a:graphicData>
            </a:graphic>
          </wp:inline>
        </w:drawing>
      </w:r>
    </w:p>
    <w:p>
      <w:pPr/>
      <w:r>
        <w:t xml:space="preserve">Rollenmodell · 3 Ebenen plus Dienstleister</w:t>
      </w:r>
    </w:p>
    <w:p>
      <w:pPr/>
      <w:r>
        <w:t xml:space="preserve">Wichtig ist Ebene 3: Solange wir die Bestelldaten des Händlers nur für seinen Report nutzen, sind wir sein Dienstleister. Nutzen wir sie auch für eigene Zwecke, etwa zum Lernen, werden wir nach Art. 28 Abs. 10 selbst verantwortlich.</w:t>
      </w:r>
    </w:p>
    <w:p>
      <w:pPr>
        <w:pStyle w:val="Heading2"/>
      </w:pPr>
      <w:r>
        <w:t xml:space="preserve">Risiko-Ampel</w:t>
      </w:r>
    </w:p>
    <w:p>
      <w:pPr/>
      <w:r>
        <w:t xml:space="preserve">Drei Themen stehen auf Rot: die Einstufung der Körpermaße, das Rollenmodell und die Pflichten aus der Folgenabschätzung. Alle drei sind lösbar, wenn wir sie vor dem Pilot angehen.</w:t>
      </w:r>
    </w:p>
    <w:tbl>
      <w:tblPr>
        <w:tblStyle w:val="TableGrid"/>
        <w:tblW w:w="0" w:type="auto"/>
        <w:tblLayout w:type="fixed"/>
        <w:tblLook w:val="04A0" w:firstRow="1" w:lastRow="0" w:firstColumn="0" w:lastColumn="0" w:noHBand="0" w:noVBand="1"/>
      </w:tblPr>
      <w:tblGrid>
        <w:gridCol w:w="2340"/>
        <w:gridCol w:w="909"/>
        <w:gridCol w:w="3411"/>
        <w:gridCol w:w="2700"/>
      </w:tblGrid>
      <w:tr>
        <w:trPr>
          <w:tblHeader/>
        </w:trPr>
        <w:tc>
          <w:tcPr>
            <w:tcW w:w="2340" w:type="dxa"/>
            <w:shd w:val="clear" w:color="auto" w:fill="F2F2F2"/>
          </w:tcPr>
          <w:p>
            <w:pPr/>
            <w:r>
              <w:t xml:space="preserve">Thema</w:t>
            </w:r>
          </w:p>
        </w:tc>
        <w:tc>
          <w:tcPr>
            <w:tcW w:w="909" w:type="dxa"/>
            <w:shd w:val="clear" w:color="auto" w:fill="F2F2F2"/>
          </w:tcPr>
          <w:p>
            <w:pPr/>
            <w:r>
              <w:t xml:space="preserve">Risiko</w:t>
            </w:r>
          </w:p>
        </w:tc>
        <w:tc>
          <w:tcPr>
            <w:tcW w:w="3411" w:type="dxa"/>
            <w:shd w:val="clear" w:color="auto" w:fill="F2F2F2"/>
          </w:tcPr>
          <w:p>
            <w:pPr/>
            <w:r>
              <w:t xml:space="preserve">Warum</w:t>
            </w:r>
          </w:p>
        </w:tc>
        <w:tc>
          <w:tcPr>
            <w:tcW w:w="2700" w:type="dxa"/>
            <w:shd w:val="clear" w:color="auto" w:fill="F2F2F2"/>
          </w:tcPr>
          <w:p>
            <w:pPr/>
            <w:r>
              <w:t xml:space="preserve">Nächster Schritt</w:t>
            </w:r>
          </w:p>
        </w:tc>
      </w:tr>
      <w:tr>
        <w:tc>
          <w:tcPr>
            <w:tcW w:w="2340" w:type="dxa"/>
          </w:tcPr>
          <w:p>
            <w:pPr/>
            <w:r>
              <w:t xml:space="preserve">Körpermaße als Gesundheitsdaten</w:t>
            </w:r>
          </w:p>
        </w:tc>
        <w:tc>
          <w:tcPr>
            <w:tcW w:w="909" w:type="dxa"/>
          </w:tcPr>
          <w:p>
            <w:pPr/>
            <w:r>
              <w:t xml:space="preserve">Rot</w:t>
            </w:r>
          </w:p>
        </w:tc>
        <w:tc>
          <w:tcPr>
            <w:tcW w:w="3411" w:type="dxa"/>
          </w:tcPr>
          <w:p>
            <w:pPr/>
            <w:r>
              <w:t xml:space="preserve">Der EuGH legt den Begriff weit aus; ein Irrtum hieße Verarbeitung ohne Rechtsgrundlage</w:t>
            </w:r>
          </w:p>
        </w:tc>
        <w:tc>
          <w:tcPr>
            <w:tcW w:w="2700" w:type="dxa"/>
          </w:tcPr>
          <w:p>
            <w:pPr/>
            <w:r>
              <w:t xml:space="preserve">Art.-9-Einwilligung beibehalten, Gewicht nie speichern, Figur-Angaben optional</w:t>
            </w:r>
          </w:p>
        </w:tc>
      </w:tr>
      <w:tr>
        <w:tc>
          <w:tcPr>
            <w:tcW w:w="2340" w:type="dxa"/>
          </w:tcPr>
          <w:p>
            <w:pPr/>
            <w:r>
              <w:t xml:space="preserve">Rollenmodell</w:t>
            </w:r>
          </w:p>
        </w:tc>
        <w:tc>
          <w:tcPr>
            <w:tcW w:w="909" w:type="dxa"/>
          </w:tcPr>
          <w:p>
            <w:pPr/>
            <w:r>
              <w:t xml:space="preserve">Rot</w:t>
            </w:r>
          </w:p>
        </w:tc>
        <w:tc>
          <w:tcPr>
            <w:tcW w:w="3411" w:type="dxa"/>
          </w:tcPr>
          <w:p>
            <w:pPr/>
            <w:r>
              <w:t xml:space="preserve">Beim Widget ist der Händler wahrscheinlich mitverantwortlich; bei eigener Nutzung seiner Daten ändert sich unsere Rolle</w:t>
            </w:r>
          </w:p>
        </w:tc>
        <w:tc>
          <w:tcPr>
            <w:tcW w:w="2700" w:type="dxa"/>
          </w:tcPr>
          <w:p>
            <w:pPr/>
            <w:r>
              <w:t xml:space="preserve">Drei Ebenen vertraglich regeln, Anwalt prüfen lassen</w:t>
            </w:r>
          </w:p>
        </w:tc>
      </w:tr>
      <w:tr>
        <w:tc>
          <w:tcPr>
            <w:tcW w:w="2340" w:type="dxa"/>
          </w:tcPr>
          <w:p>
            <w:pPr/>
            <w:r>
              <w:t xml:space="preserve">Folgenabschätzung und Datenschutzbeauftragter</w:t>
            </w:r>
          </w:p>
        </w:tc>
        <w:tc>
          <w:tcPr>
            <w:tcW w:w="909" w:type="dxa"/>
          </w:tcPr>
          <w:p>
            <w:pPr/>
            <w:r>
              <w:t xml:space="preserve">Rot</w:t>
            </w:r>
          </w:p>
        </w:tc>
        <w:tc>
          <w:tcPr>
            <w:tcW w:w="3411" w:type="dxa"/>
          </w:tcPr>
          <w:p>
            <w:pPr/>
            <w:r>
              <w:t xml:space="preserve">Folgenabschätzung sehr wahrscheinlich Pflicht, daraus folgt der Datenschutzbeauftragte</w:t>
            </w:r>
          </w:p>
        </w:tc>
        <w:tc>
          <w:tcPr>
            <w:tcW w:w="2700" w:type="dxa"/>
          </w:tcPr>
          <w:p>
            <w:pPr/>
            <w:r>
              <w:t xml:space="preserve">Folgenabschätzung schreiben, externen Beauftragten ab Gründung</w:t>
            </w:r>
          </w:p>
        </w:tc>
      </w:tr>
      <w:tr>
        <w:tc>
          <w:tcPr>
            <w:tcW w:w="2340" w:type="dxa"/>
          </w:tcPr>
          <w:p>
            <w:pPr/>
            <w:r>
              <w:t xml:space="preserve">Einwilligungen</w:t>
            </w:r>
          </w:p>
        </w:tc>
        <w:tc>
          <w:tcPr>
            <w:tcW w:w="909" w:type="dxa"/>
          </w:tcPr>
          <w:p>
            <w:pPr/>
            <w:r>
              <w:t xml:space="preserve">Gelb</w:t>
            </w:r>
          </w:p>
        </w:tc>
        <w:tc>
          <w:tcPr>
            <w:tcW w:w="3411" w:type="dxa"/>
          </w:tcPr>
          <w:p>
            <w:pPr/>
            <w:r>
              <w:t xml:space="preserve">Grundsatz richtig, aber drei Zwecke müssen getrennt werden</w:t>
            </w:r>
          </w:p>
        </w:tc>
        <w:tc>
          <w:tcPr>
            <w:tcW w:w="2700" w:type="dxa"/>
          </w:tcPr>
          <w:p>
            <w:pPr/>
            <w:r>
              <w:t xml:space="preserve">Drei Checkboxen, Nachweis, Widerruf, Altersabfrage</w:t>
            </w:r>
          </w:p>
        </w:tc>
      </w:tr>
      <w:tr>
        <w:tc>
          <w:tcPr>
            <w:tcW w:w="2340" w:type="dxa"/>
          </w:tcPr>
          <w:p>
            <w:pPr/>
            <w:r>
              <w:t xml:space="preserve">Speichern und Löschen</w:t>
            </w:r>
          </w:p>
        </w:tc>
        <w:tc>
          <w:tcPr>
            <w:tcW w:w="909" w:type="dxa"/>
          </w:tcPr>
          <w:p>
            <w:pPr/>
            <w:r>
              <w:t xml:space="preserve">Gelb</w:t>
            </w:r>
          </w:p>
        </w:tc>
        <w:tc>
          <w:tcPr>
            <w:tcW w:w="3411" w:type="dxa"/>
          </w:tcPr>
          <w:p>
            <w:pPr/>
            <w:r>
              <w:t xml:space="preserve">Gutes Konzept, Lücken bei Backups, Logs und Monitoring</w:t>
            </w:r>
          </w:p>
        </w:tc>
        <w:tc>
          <w:tcPr>
            <w:tcW w:w="2700" w:type="dxa"/>
          </w:tcPr>
          <w:p>
            <w:pPr/>
            <w:r>
              <w:t xml:space="preserve">Löschkonzept schriftlich, keine Maße in Logs</w:t>
            </w:r>
          </w:p>
        </w:tc>
      </w:tr>
      <w:tr>
        <w:tc>
          <w:tcPr>
            <w:tcW w:w="2340" w:type="dxa"/>
          </w:tcPr>
          <w:p>
            <w:pPr/>
            <w:r>
              <w:t xml:space="preserve">Dienstleister außerhalb der EU</w:t>
            </w:r>
          </w:p>
        </w:tc>
        <w:tc>
          <w:tcPr>
            <w:tcW w:w="909" w:type="dxa"/>
          </w:tcPr>
          <w:p>
            <w:pPr/>
            <w:r>
              <w:t xml:space="preserve">Gelb</w:t>
            </w:r>
          </w:p>
        </w:tc>
        <w:tc>
          <w:tcPr>
            <w:tcW w:w="3411" w:type="dxa"/>
          </w:tcPr>
          <w:p>
            <w:pPr/>
            <w:r>
              <w:t xml:space="preserve">Render ist eine US-Firma; die Rechtsgrundlage dafür ist vor Gericht angefochten</w:t>
            </w:r>
          </w:p>
        </w:tc>
        <w:tc>
          <w:tcPr>
            <w:tcW w:w="2700" w:type="dxa"/>
          </w:tcPr>
          <w:p>
            <w:pPr/>
            <w:r>
              <w:t xml:space="preserve">Verträge abschließen, Prüfung dokumentieren, Plan B</w:t>
            </w:r>
          </w:p>
        </w:tc>
      </w:tr>
      <w:tr>
        <w:tc>
          <w:tcPr>
            <w:tcW w:w="2340" w:type="dxa"/>
          </w:tcPr>
          <w:p>
            <w:pPr/>
            <w:r>
              <w:t xml:space="preserve">Speichern im Browser</w:t>
            </w:r>
          </w:p>
        </w:tc>
        <w:tc>
          <w:tcPr>
            <w:tcW w:w="909" w:type="dxa"/>
          </w:tcPr>
          <w:p>
            <w:pPr/>
            <w:r>
              <w:t xml:space="preserve">Gelb</w:t>
            </w:r>
          </w:p>
        </w:tc>
        <w:tc>
          <w:tcPr>
            <w:tcW w:w="3411" w:type="dxa"/>
          </w:tcPr>
          <w:p>
            <w:pPr/>
            <w:r>
              <w:t xml:space="preserve">localStorage braucht grundsätzlich Einwilligung</w:t>
            </w:r>
          </w:p>
        </w:tc>
        <w:tc>
          <w:tcPr>
            <w:tcW w:w="2700" w:type="dxa"/>
          </w:tcPr>
          <w:p>
            <w:pPr/>
            <w:r>
              <w:t xml:space="preserve">Nur für Login, Kontrollgruppe serverseitig</w:t>
            </w:r>
          </w:p>
        </w:tc>
      </w:tr>
      <w:tr>
        <w:tc>
          <w:tcPr>
            <w:tcW w:w="2340" w:type="dxa"/>
          </w:tcPr>
          <w:p>
            <w:pPr/>
            <w:r>
              <w:t xml:space="preserve">Umfrage-Mail</w:t>
            </w:r>
          </w:p>
        </w:tc>
        <w:tc>
          <w:tcPr>
            <w:tcW w:w="909" w:type="dxa"/>
          </w:tcPr>
          <w:p>
            <w:pPr/>
            <w:r>
              <w:t xml:space="preserve">Gelb</w:t>
            </w:r>
          </w:p>
        </w:tc>
        <w:tc>
          <w:tcPr>
            <w:tcW w:w="3411" w:type="dxa"/>
          </w:tcPr>
          <w:p>
            <w:pPr/>
            <w:r>
              <w:t xml:space="preserve">Gilt als Werbung</w:t>
            </w:r>
          </w:p>
        </w:tc>
        <w:tc>
          <w:tcPr>
            <w:tcW w:w="2700" w:type="dxa"/>
          </w:tcPr>
          <w:p>
            <w:pPr/>
            <w:r>
              <w:t xml:space="preserve">Eigene Einwilligung mit Double-Opt-In</w:t>
            </w:r>
          </w:p>
        </w:tc>
      </w:tr>
      <w:tr>
        <w:tc>
          <w:tcPr>
            <w:tcW w:w="2340" w:type="dxa"/>
          </w:tcPr>
          <w:p>
            <w:pPr/>
            <w:r>
              <w:t xml:space="preserve">Datenpannen</w:t>
            </w:r>
          </w:p>
        </w:tc>
        <w:tc>
          <w:tcPr>
            <w:tcW w:w="909" w:type="dxa"/>
          </w:tcPr>
          <w:p>
            <w:pPr/>
            <w:r>
              <w:t xml:space="preserve">Gelb</w:t>
            </w:r>
          </w:p>
        </w:tc>
        <w:tc>
          <w:tcPr>
            <w:tcW w:w="3411" w:type="dxa"/>
          </w:tcPr>
          <w:p>
            <w:pPr/>
            <w:r>
              <w:t xml:space="preserve">72-Stunden-Frist, bei Gesundheitsdaten meist auch Kundinnen informieren</w:t>
            </w:r>
          </w:p>
        </w:tc>
        <w:tc>
          <w:tcPr>
            <w:tcW w:w="2700" w:type="dxa"/>
          </w:tcPr>
          <w:p>
            <w:pPr/>
            <w:r>
              <w:t xml:space="preserve">Notfallplan auf einer Seite</w:t>
            </w:r>
          </w:p>
        </w:tc>
      </w:tr>
      <w:tr>
        <w:tc>
          <w:tcPr>
            <w:tcW w:w="2340" w:type="dxa"/>
          </w:tcPr>
          <w:p>
            <w:pPr/>
            <w:r>
              <w:t xml:space="preserve">Haftung</w:t>
            </w:r>
          </w:p>
        </w:tc>
        <w:tc>
          <w:tcPr>
            <w:tcW w:w="909" w:type="dxa"/>
          </w:tcPr>
          <w:p>
            <w:pPr/>
            <w:r>
              <w:t xml:space="preserve">Gelb</w:t>
            </w:r>
          </w:p>
        </w:tc>
        <w:tc>
          <w:tcPr>
            <w:tcW w:w="3411" w:type="dxa"/>
          </w:tcPr>
          <w:p>
            <w:pPr/>
            <w:r>
              <w:t xml:space="preserve">Massen-Schadensersatz und Abmahnungen möglich; vor der Gründung persönliche Haftung</w:t>
            </w:r>
          </w:p>
        </w:tc>
        <w:tc>
          <w:tcPr>
            <w:tcW w:w="2700" w:type="dxa"/>
          </w:tcPr>
          <w:p>
            <w:pPr/>
            <w:r>
              <w:t xml:space="preserve">Gesellschaft gründen, Cyber-Versicherung prüfen</w:t>
            </w:r>
          </w:p>
        </w:tc>
      </w:tr>
      <w:tr>
        <w:tc>
          <w:tcPr>
            <w:tcW w:w="2340" w:type="dxa"/>
          </w:tcPr>
          <w:p>
            <w:pPr/>
            <w:r>
              <w:t xml:space="preserve">Shopify-Kundendaten</w:t>
            </w:r>
          </w:p>
        </w:tc>
        <w:tc>
          <w:tcPr>
            <w:tcW w:w="909" w:type="dxa"/>
          </w:tcPr>
          <w:p>
            <w:pPr/>
            <w:r>
              <w:t xml:space="preserve">Gelb</w:t>
            </w:r>
          </w:p>
        </w:tc>
        <w:tc>
          <w:tcPr>
            <w:tcW w:w="3411" w:type="dxa"/>
          </w:tcPr>
          <w:p>
            <w:pPr/>
            <w:r>
              <w:t xml:space="preserve">Bestelldaten sind geschützt; Name und E-Mail lösen eine Extra-Prüfung aus</w:t>
            </w:r>
          </w:p>
        </w:tc>
        <w:tc>
          <w:tcPr>
            <w:tcW w:w="2700" w:type="dxa"/>
          </w:tcPr>
          <w:p>
            <w:pPr/>
            <w:r>
              <w:t xml:space="preserve">Nur Stufe 1 beantragen, E-Mail selbst bei der Kundin holen</w:t>
            </w:r>
          </w:p>
        </w:tc>
      </w:tr>
      <w:tr>
        <w:tc>
          <w:tcPr>
            <w:tcW w:w="2340" w:type="dxa"/>
          </w:tcPr>
          <w:p>
            <w:pPr/>
            <w:r>
              <w:t xml:space="preserve">Rechte der Kundin</w:t>
            </w:r>
          </w:p>
        </w:tc>
        <w:tc>
          <w:tcPr>
            <w:tcW w:w="909" w:type="dxa"/>
          </w:tcPr>
          <w:p>
            <w:pPr/>
            <w:r>
              <w:t xml:space="preserve">Grün</w:t>
            </w:r>
          </w:p>
        </w:tc>
        <w:tc>
          <w:tcPr>
            <w:tcW w:w="3411" w:type="dxa"/>
          </w:tcPr>
          <w:p>
            <w:pPr/>
            <w:r>
              <w:t xml:space="preserve">„Mein Ommetryx“ deckt Auskunft, Löschung und Export ab</w:t>
            </w:r>
          </w:p>
        </w:tc>
        <w:tc>
          <w:tcPr>
            <w:tcW w:w="2700" w:type="dxa"/>
          </w:tcPr>
          <w:p>
            <w:pPr/>
            <w:r>
              <w:t xml:space="preserve">Shopify-Pflicht-Webhooks einbauen</w:t>
            </w:r>
          </w:p>
        </w:tc>
      </w:tr>
      <w:tr>
        <w:tc>
          <w:tcPr>
            <w:tcW w:w="2340" w:type="dxa"/>
          </w:tcPr>
          <w:p>
            <w:pPr/>
            <w:r>
              <w:t xml:space="preserve">Kontrollgruppe</w:t>
            </w:r>
          </w:p>
        </w:tc>
        <w:tc>
          <w:tcPr>
            <w:tcW w:w="909" w:type="dxa"/>
          </w:tcPr>
          <w:p>
            <w:pPr/>
            <w:r>
              <w:t xml:space="preserve">Grün</w:t>
            </w:r>
          </w:p>
        </w:tc>
        <w:tc>
          <w:tcPr>
            <w:tcW w:w="3411" w:type="dxa"/>
          </w:tcPr>
          <w:p>
            <w:pPr/>
            <w:r>
              <w:t xml:space="preserve">Zulässig, wenn transparent und sparsam</w:t>
            </w:r>
          </w:p>
        </w:tc>
        <w:tc>
          <w:tcPr>
            <w:tcW w:w="2700" w:type="dxa"/>
          </w:tcPr>
          <w:p>
            <w:pPr/>
            <w:r>
              <w:t xml:space="preserve">Nur Bestellnummer und Retouren-Status, Hinweis in der Datenschutzerklärung des Händlers</w:t>
            </w:r>
          </w:p>
        </w:tc>
      </w:tr>
      <w:tr>
        <w:tc>
          <w:tcPr>
            <w:tcW w:w="2340" w:type="dxa"/>
          </w:tcPr>
          <w:p>
            <w:pPr/>
            <w:r>
              <w:t xml:space="preserve">KI-Verordnung</w:t>
            </w:r>
          </w:p>
        </w:tc>
        <w:tc>
          <w:tcPr>
            <w:tcW w:w="909" w:type="dxa"/>
          </w:tcPr>
          <w:p>
            <w:pPr/>
            <w:r>
              <w:t xml:space="preserve">Grün</w:t>
            </w:r>
          </w:p>
        </w:tc>
        <w:tc>
          <w:tcPr>
            <w:tcW w:w="3411" w:type="dxa"/>
          </w:tcPr>
          <w:p>
            <w:pPr/>
            <w:r>
              <w:t xml:space="preserve">Regelbasierte Logik ist eher kein KI-System</w:t>
            </w:r>
          </w:p>
        </w:tc>
        <w:tc>
          <w:tcPr>
            <w:tcW w:w="2700" w:type="dxa"/>
          </w:tcPr>
          <w:p>
            <w:pPr/>
            <w:r>
              <w:t xml:space="preserve">Bei Machine Learning neu prüfen</w:t>
            </w:r>
          </w:p>
        </w:tc>
      </w:tr>
    </w:tbl>
    <w:p>
      <w:pPr>
        <w:pStyle w:val="Heading2"/>
      </w:pPr>
      <w:r>
        <w:t xml:space="preserve">Pflichtenliste</w:t>
      </w:r>
    </w:p>
    <w:p>
      <w:pPr/>
      <w:r>
        <w:t xml:space="preserve">Die meisten Pflichten müssen vor dem Pilot erledigt sein, weil dann echte Kundinnendaten fließen.</w:t>
      </w:r>
    </w:p>
    <w:p>
      <w:pPr/>
      <w:r>
        <w:rPr>
          <w:b/>
        </w:rPr>
        <w:t xml:space="preserve">Vor dem Pilot</w:t>
      </w:r>
    </w:p>
    <w:p>
      <w:pPr>
        <w:pStyle w:val="ListParagraph"/>
        <w:numPr>
          <w:ilvl w:val="0"/>
          <w:numId w:val="3"/>
        </w:numPr>
      </w:pPr>
      <w:r>
        <w:t xml:space="preserve">☐ Drei getrennte Einwilligungen: (1) Profil und Maße speichern und für Empfehlungen nutzen, (2) Umfrage-Mail, (3) Rückmeldungen nutzen, um die Empfehlungen für alle zu verbessern</w:t>
      </w:r>
    </w:p>
    <w:p>
      <w:pPr>
        <w:pStyle w:val="ListParagraph"/>
        <w:numPr>
          <w:ilvl w:val="0"/>
          <w:numId w:val="3"/>
        </w:numPr>
      </w:pPr>
      <w:r>
        <w:t xml:space="preserve">☐ Einwilligungstext konkret: welche Daten, dass Rückschlüsse auf die Gesundheit möglich sind, wofür, wie lange; keine vorangekreuzten Kästchen</w:t>
      </w:r>
    </w:p>
    <w:p>
      <w:pPr>
        <w:pStyle w:val="ListParagraph"/>
        <w:numPr>
          <w:ilvl w:val="0"/>
          <w:numId w:val="3"/>
        </w:numPr>
      </w:pPr>
      <w:r>
        <w:t xml:space="preserve">☐ Nachweis speichern: Zeitpunkt, Textversion, Shop, Widerruf</w:t>
      </w:r>
    </w:p>
    <w:p>
      <w:pPr>
        <w:pStyle w:val="ListParagraph"/>
        <w:numPr>
          <w:ilvl w:val="0"/>
          <w:numId w:val="3"/>
        </w:numPr>
      </w:pPr>
      <w:r>
        <w:t xml:space="preserve">☐ Altersabfrage 16+</w:t>
      </w:r>
    </w:p>
    <w:p>
      <w:pPr>
        <w:pStyle w:val="ListParagraph"/>
        <w:numPr>
          <w:ilvl w:val="0"/>
          <w:numId w:val="3"/>
        </w:numPr>
      </w:pPr>
      <w:r>
        <w:t xml:space="preserve">☐ Datenschutzerklärung nach Art. 13, im Widget vor der Eingabe verlinkt</w:t>
      </w:r>
    </w:p>
    <w:p>
      <w:pPr>
        <w:pStyle w:val="ListParagraph"/>
        <w:numPr>
          <w:ilvl w:val="0"/>
          <w:numId w:val="3"/>
        </w:numPr>
      </w:pPr>
      <w:r>
        <w:t xml:space="preserve">☐ Auftragsverarbeitungsverträge mit Render, Brevo und dem Monitoring-Anbieter abschließen</w:t>
      </w:r>
    </w:p>
    <w:p>
      <w:pPr>
        <w:pStyle w:val="ListParagraph"/>
        <w:numPr>
          <w:ilvl w:val="0"/>
          <w:numId w:val="3"/>
        </w:numPr>
      </w:pPr>
      <w:r>
        <w:t xml:space="preserve">☐ Prüfen und mit Datum notieren, dass Render unter dem Data Privacy Framework gelistet ist</w:t>
      </w:r>
    </w:p>
    <w:p>
      <w:pPr>
        <w:pStyle w:val="ListParagraph"/>
        <w:numPr>
          <w:ilvl w:val="0"/>
          <w:numId w:val="3"/>
        </w:numPr>
      </w:pPr>
      <w:r>
        <w:t xml:space="preserve">☐ Sicherheit: Verschlüsselung, Login-Code mit Ablaufzeit und Sperre nach Fehlversuchen, Zugriff auf die Maße nur für 1 bis 2 Personen mit Zwei-Faktor-Anmeldung, keine Maße im Fehler-Monitoring</w:t>
      </w:r>
    </w:p>
    <w:p>
      <w:pPr>
        <w:pStyle w:val="ListParagraph"/>
        <w:numPr>
          <w:ilvl w:val="0"/>
          <w:numId w:val="3"/>
        </w:numPr>
      </w:pPr>
      <w:r>
        <w:t xml:space="preserve">☐ Löschkonzept schriftlich: 24 Monate Inaktivität, Widerruf löscht sofort, Backups laufen nach festgelegter Zeit aus</w:t>
      </w:r>
    </w:p>
    <w:p>
      <w:pPr>
        <w:pStyle w:val="ListParagraph"/>
        <w:numPr>
          <w:ilvl w:val="0"/>
          <w:numId w:val="3"/>
        </w:numPr>
      </w:pPr>
      <w:r>
        <w:t xml:space="preserve">☐ Verzeichnis der Verarbeitungstätigkeiten anlegen</w:t>
      </w:r>
    </w:p>
    <w:p>
      <w:pPr>
        <w:pStyle w:val="ListParagraph"/>
        <w:numPr>
          <w:ilvl w:val="0"/>
          <w:numId w:val="3"/>
        </w:numPr>
      </w:pPr>
      <w:r>
        <w:t xml:space="preserve">☐ Datenschutz-Folgenabschätzung schreiben</w:t>
      </w:r>
    </w:p>
    <w:p>
      <w:pPr>
        <w:pStyle w:val="ListParagraph"/>
        <w:numPr>
          <w:ilvl w:val="0"/>
          <w:numId w:val="3"/>
        </w:numPr>
      </w:pPr>
      <w:r>
        <w:t xml:space="preserve">☐ Pilot-Händlervertrag mit Rollenregelung</w:t>
      </w:r>
    </w:p>
    <w:p>
      <w:pPr>
        <w:pStyle w:val="ListParagraph"/>
        <w:numPr>
          <w:ilvl w:val="0"/>
          <w:numId w:val="3"/>
        </w:numPr>
      </w:pPr>
      <w:r>
        <w:t xml:space="preserve">☐ Notfallplan Datenpanne: wer ist zuständig, wer vertritt, Telefonliste, Ablauf (eindämmen, bewerten, dokumentieren, melden), vorbereitete Texte</w:t>
      </w:r>
    </w:p>
    <w:p>
      <w:pPr/>
      <w:r>
        <w:rPr>
          <w:b/>
        </w:rPr>
        <w:t xml:space="preserve">Vor dem App Store</w:t>
      </w:r>
    </w:p>
    <w:p>
      <w:pPr>
        <w:pStyle w:val="ListParagraph"/>
        <w:numPr>
          <w:ilvl w:val="0"/>
          <w:numId w:val="4"/>
        </w:numPr>
      </w:pPr>
      <w:r>
        <w:t xml:space="preserve">☐ Bei Shopify nur Stufe 1 der geschützten Kundendaten beantragen und begründen</w:t>
      </w:r>
    </w:p>
    <w:p>
      <w:pPr>
        <w:pStyle w:val="ListParagraph"/>
        <w:numPr>
          <w:ilvl w:val="0"/>
          <w:numId w:val="4"/>
        </w:numPr>
      </w:pPr>
      <w:r>
        <w:t xml:space="preserve">☐ Pflicht-Webhooks </w:t>
      </w:r>
      <w:r>
        <w:rPr>
          <w:rStyle w:val="CodeChar"/>
        </w:rPr>
        <w:t xml:space="preserve">customers/data_request</w:t>
      </w:r>
      <w:r>
        <w:t xml:space="preserve">, </w:t>
      </w:r>
      <w:r>
        <w:rPr>
          <w:rStyle w:val="CodeChar"/>
        </w:rPr>
        <w:t xml:space="preserve">customers/redact</w:t>
      </w:r>
      <w:r>
        <w:t xml:space="preserve">, </w:t>
      </w:r>
      <w:r>
        <w:rPr>
          <w:rStyle w:val="CodeChar"/>
        </w:rPr>
        <w:t xml:space="preserve">shop/redact</w:t>
      </w:r>
      <w:r>
        <w:t xml:space="preserve"> einbauen, Löschung binnen 30 Tagen</w:t>
      </w:r>
    </w:p>
    <w:p>
      <w:pPr>
        <w:pStyle w:val="ListParagraph"/>
        <w:numPr>
          <w:ilvl w:val="0"/>
          <w:numId w:val="4"/>
        </w:numPr>
      </w:pPr>
      <w:r>
        <w:t xml:space="preserve">☐ Datenschutzerklärung für Händler, Verträge als Klick-Vertrag</w:t>
      </w:r>
    </w:p>
    <w:p>
      <w:pPr>
        <w:pStyle w:val="ListParagraph"/>
        <w:numPr>
          <w:ilvl w:val="0"/>
          <w:numId w:val="4"/>
        </w:numPr>
      </w:pPr>
      <w:r>
        <w:t xml:space="preserve">☐ Widget und Einwilligungsdialog barrierefrei nach WCAG 2.1 AA</w:t>
      </w:r>
    </w:p>
    <w:p>
      <w:pPr/>
      <w:r>
        <w:rPr>
          <w:b/>
        </w:rPr>
        <w:t xml:space="preserve">Mit der Gründung</w:t>
      </w:r>
    </w:p>
    <w:p>
      <w:pPr>
        <w:pStyle w:val="ListParagraph"/>
        <w:numPr>
          <w:ilvl w:val="0"/>
          <w:numId w:val="5"/>
        </w:numPr>
      </w:pPr>
      <w:r>
        <w:t xml:space="preserve">☐ UG oder GmbH gründen, bevor der Livebetrieb startet</w:t>
      </w:r>
    </w:p>
    <w:p>
      <w:pPr>
        <w:pStyle w:val="ListParagraph"/>
        <w:numPr>
          <w:ilvl w:val="0"/>
          <w:numId w:val="5"/>
        </w:numPr>
      </w:pPr>
      <w:r>
        <w:t xml:space="preserve">☐ Externen Datenschutzbeauftragten benennen und der Behörde melden</w:t>
      </w:r>
    </w:p>
    <w:p>
      <w:pPr>
        <w:pStyle w:val="ListParagraph"/>
        <w:numPr>
          <w:ilvl w:val="0"/>
          <w:numId w:val="5"/>
        </w:numPr>
      </w:pPr>
      <w:r>
        <w:t xml:space="preserve">☐ Alle Verträge auf die Gesellschaft umschreiben</w:t>
      </w:r>
    </w:p>
    <w:p>
      <w:pPr>
        <w:pStyle w:val="ListParagraph"/>
        <w:numPr>
          <w:ilvl w:val="0"/>
          <w:numId w:val="5"/>
        </w:numPr>
      </w:pPr>
      <w:r>
        <w:t xml:space="preserve">☐ Cyber- und Vermögensschaden-Haftpflicht prüfen</w:t>
      </w:r>
    </w:p>
    <w:p>
      <w:pPr>
        <w:pStyle w:val="ListParagraph"/>
        <w:numPr>
          <w:ilvl w:val="0"/>
          <w:numId w:val="5"/>
        </w:numPr>
      </w:pPr>
      <w:r>
        <w:t xml:space="preserve">☐ Datenschutz-Schulung des Teams dokumentieren</w:t>
      </w:r>
    </w:p>
    <w:p>
      <w:pPr>
        <w:pStyle w:val="Heading2"/>
      </w:pPr>
      <w:r>
        <w:t xml:space="preserve">Fragen für das Anwaltsgespräch</w:t>
      </w:r>
    </w:p>
    <w:p>
      <w:pPr/>
      <w:r>
        <w:t xml:space="preserve">Die ersten drei Fragen entscheiden über Verträge und Kosten, deshalb kommen sie zuerst.</w:t>
      </w:r>
    </w:p>
    <w:p>
      <w:pPr>
        <w:pStyle w:val="ListParagraph"/>
        <w:numPr>
          <w:ilvl w:val="0"/>
          <w:numId w:val="6"/>
        </w:numPr>
      </w:pPr>
      <w:r>
        <w:rPr>
          <w:b/>
        </w:rPr>
        <w:t xml:space="preserve">Rollenmodell:</w:t>
      </w:r>
      <w:r>
        <w:t xml:space="preserve"> Trägt das Modell mit drei Ebenen (wir allein für das Profil, gemeinsam mit dem Händler beim Erheben im Widget, Dienstleister für den Retouren-Report)? Bitte AVV und Art.-26-Vereinbarung als Klick-Vertrag für Shopify-Händler entwerfen.</w:t>
      </w:r>
    </w:p>
    <w:p>
      <w:pPr>
        <w:pStyle w:val="ListParagraph"/>
        <w:numPr>
          <w:ilvl w:val="0"/>
          <w:numId w:val="6"/>
        </w:numPr>
      </w:pPr>
      <w:r>
        <w:rPr>
          <w:b/>
        </w:rPr>
        <w:t xml:space="preserve">Folgenabschätzung und Datenschutzbeauftragter:</w:t>
      </w:r>
      <w:r>
        <w:t xml:space="preserve"> Ist die Folgenabschätzung Pflicht, und folgt daraus die Pflicht zum Datenschutzbeauftragten nach § 38 BDSG? Ab dem Pilot oder erst ab der Gründung?</w:t>
      </w:r>
    </w:p>
    <w:p>
      <w:pPr>
        <w:pStyle w:val="ListParagraph"/>
        <w:numPr>
          <w:ilvl w:val="0"/>
          <w:numId w:val="6"/>
        </w:numPr>
      </w:pPr>
      <w:r>
        <w:rPr>
          <w:b/>
        </w:rPr>
        <w:t xml:space="preserve">Haftung vor der Gründung:</w:t>
      </w:r>
      <w:r>
        <w:t xml:space="preserve"> Sind wir als Team schon eine GbR mit persönlicher Haftung? Wann müssen wir gründen?</w:t>
      </w:r>
    </w:p>
    <w:p>
      <w:pPr>
        <w:pStyle w:val="ListParagraph"/>
        <w:numPr>
          <w:ilvl w:val="0"/>
          <w:numId w:val="6"/>
        </w:numPr>
      </w:pPr>
      <w:r>
        <w:rPr>
          <w:b/>
        </w:rPr>
        <w:t xml:space="preserve">Einwilligungstexte:</w:t>
      </w:r>
      <w:r>
        <w:t xml:space="preserve"> Sind die drei Einwilligungen ausdrücklich, informiert und bestimmt genug? Reicht die Selbstauskunft „mindestens 16“?</w:t>
      </w:r>
    </w:p>
    <w:p>
      <w:pPr>
        <w:pStyle w:val="ListParagraph"/>
        <w:numPr>
          <w:ilvl w:val="0"/>
          <w:numId w:val="6"/>
        </w:numPr>
      </w:pPr>
      <w:r>
        <w:rPr>
          <w:b/>
        </w:rPr>
        <w:t xml:space="preserve">Umfrage-Mail:</w:t>
      </w:r>
      <w:r>
        <w:t xml:space="preserve"> Ist eine Befragung durch uns, nicht durch den Verkäufer, Werbung im Sinne des BGH?</w:t>
      </w:r>
    </w:p>
    <w:p>
      <w:pPr>
        <w:pStyle w:val="ListParagraph"/>
        <w:numPr>
          <w:ilvl w:val="0"/>
          <w:numId w:val="6"/>
        </w:numPr>
      </w:pPr>
      <w:r>
        <w:rPr>
          <w:b/>
        </w:rPr>
        <w:t xml:space="preserve">Shopify-Lösch-Webhook:</w:t>
      </w:r>
      <w:r>
        <w:t xml:space="preserve"> Müssen wir bei </w:t>
      </w:r>
      <w:r>
        <w:rPr>
          <w:rStyle w:val="CodeChar"/>
        </w:rPr>
        <w:t xml:space="preserve">customers/redact</w:t>
      </w:r>
      <w:r>
        <w:t xml:space="preserve"> das shopübergreifende Profil löschen oder nur die Verknüpfung mit diesem Shop?</w:t>
      </w:r>
    </w:p>
    <w:p>
      <w:pPr>
        <w:pStyle w:val="ListParagraph"/>
        <w:numPr>
          <w:ilvl w:val="0"/>
          <w:numId w:val="6"/>
        </w:numPr>
      </w:pPr>
      <w:r>
        <w:rPr>
          <w:b/>
        </w:rPr>
        <w:t xml:space="preserve">USA-Bezug:</w:t>
      </w:r>
      <w:r>
        <w:t xml:space="preserve"> Reichen Data Privacy Framework und die Standardvertragsklauseln von Render? Wie ausführlich muss die Prüfung (Transfer Impact Assessment) sein?</w:t>
      </w:r>
    </w:p>
    <w:p>
      <w:pPr>
        <w:pStyle w:val="ListParagraph"/>
        <w:numPr>
          <w:ilvl w:val="0"/>
          <w:numId w:val="6"/>
        </w:numPr>
      </w:pPr>
      <w:r>
        <w:rPr>
          <w:b/>
        </w:rPr>
        <w:t xml:space="preserve">Statistiken für Händler:</w:t>
      </w:r>
      <w:r>
        <w:t xml:space="preserve"> Ab wann sind aus Maßen abgeleitete Zahlen eine Anonymisierung sensibler Daten, die selbst eine Folgenabschätzung braucht?</w:t>
      </w:r>
    </w:p>
    <w:p>
      <w:pPr>
        <w:pStyle w:val="ListParagraph"/>
        <w:numPr>
          <w:ilvl w:val="0"/>
          <w:numId w:val="6"/>
        </w:numPr>
      </w:pPr>
      <w:r>
        <w:rPr>
          <w:b/>
        </w:rPr>
        <w:t xml:space="preserve">Kurzcheck:</w:t>
      </w:r>
      <w:r>
        <w:t xml:space="preserve"> Spielen der Data Act oder Verbraucherrecht für uns eine Rolle?</w:t>
      </w:r>
    </w:p>
    <w:p>
      <w:pPr>
        <w:pStyle w:val="Heading2"/>
      </w:pPr>
      <w:r>
        <w:t xml:space="preserve">Glossar und Quellen</w:t>
      </w:r>
    </w:p>
    <w:tbl>
      <w:tblPr>
        <w:tblStyle w:val="TableGrid"/>
        <w:tblW w:w="0" w:type="auto"/>
        <w:tblLayout w:type="fixed"/>
        <w:tblLook w:val="04A0" w:firstRow="1" w:lastRow="0" w:firstColumn="0" w:lastColumn="0" w:noHBand="0" w:noVBand="1"/>
      </w:tblPr>
      <w:tblGrid>
        <w:gridCol w:w="3967"/>
        <w:gridCol w:w="5392"/>
      </w:tblGrid>
      <w:tr>
        <w:trPr>
          <w:tblHeader/>
        </w:trPr>
        <w:tc>
          <w:tcPr>
            <w:tcW w:w="3967" w:type="dxa"/>
            <w:shd w:val="clear" w:color="auto" w:fill="F2F2F2"/>
          </w:tcPr>
          <w:p>
            <w:pPr/>
            <w:r>
              <w:t xml:space="preserve">Begriff</w:t>
            </w:r>
          </w:p>
        </w:tc>
        <w:tc>
          <w:tcPr>
            <w:tcW w:w="5392" w:type="dxa"/>
            <w:shd w:val="clear" w:color="auto" w:fill="F2F2F2"/>
          </w:tcPr>
          <w:p>
            <w:pPr/>
            <w:r>
              <w:t xml:space="preserve">Bedeutung</w:t>
            </w:r>
          </w:p>
        </w:tc>
      </w:tr>
      <w:tr>
        <w:tc>
          <w:tcPr>
            <w:tcW w:w="3967" w:type="dxa"/>
          </w:tcPr>
          <w:p>
            <w:pPr/>
            <w:r>
              <w:t xml:space="preserve">Personenbezogene Daten</w:t>
            </w:r>
          </w:p>
        </w:tc>
        <w:tc>
          <w:tcPr>
            <w:tcW w:w="5392" w:type="dxa"/>
          </w:tcPr>
          <w:p>
            <w:pPr/>
            <w:r>
              <w:t xml:space="preserve">Alles, was sich einer bestimmten Person zuordnen lässt, auch über eine Kennnummer</w:t>
            </w:r>
          </w:p>
        </w:tc>
      </w:tr>
      <w:tr>
        <w:tc>
          <w:tcPr>
            <w:tcW w:w="3967" w:type="dxa"/>
          </w:tcPr>
          <w:p>
            <w:pPr/>
            <w:r>
              <w:t xml:space="preserve">Besondere Kategorien</w:t>
            </w:r>
          </w:p>
        </w:tc>
        <w:tc>
          <w:tcPr>
            <w:tcW w:w="5392" w:type="dxa"/>
          </w:tcPr>
          <w:p>
            <w:pPr/>
            <w:r>
              <w:t xml:space="preserve">Besonders sensible Daten wie Gesundheit (Art. 9); grundsätzlich verboten, außer eine Ausnahme greift</w:t>
            </w:r>
          </w:p>
        </w:tc>
      </w:tr>
      <w:tr>
        <w:tc>
          <w:tcPr>
            <w:tcW w:w="3967" w:type="dxa"/>
          </w:tcPr>
          <w:p>
            <w:pPr/>
            <w:r>
              <w:t xml:space="preserve">Verantwortlicher</w:t>
            </w:r>
          </w:p>
        </w:tc>
        <w:tc>
          <w:tcPr>
            <w:tcW w:w="5392" w:type="dxa"/>
          </w:tcPr>
          <w:p>
            <w:pPr/>
            <w:r>
              <w:t xml:space="preserve">Wer entscheidet, wofür Daten verwendet werden, und dafür haftet</w:t>
            </w:r>
          </w:p>
        </w:tc>
      </w:tr>
      <w:tr>
        <w:tc>
          <w:tcPr>
            <w:tcW w:w="3967" w:type="dxa"/>
          </w:tcPr>
          <w:p>
            <w:pPr/>
            <w:r>
              <w:t xml:space="preserve">Auftragsverarbeiter</w:t>
            </w:r>
          </w:p>
        </w:tc>
        <w:tc>
          <w:tcPr>
            <w:tcW w:w="5392" w:type="dxa"/>
          </w:tcPr>
          <w:p>
            <w:pPr/>
            <w:r>
              <w:t xml:space="preserve">Dienstleister, der Daten nur nach Weisung verarbeitet</w:t>
            </w:r>
          </w:p>
        </w:tc>
      </w:tr>
      <w:tr>
        <w:tc>
          <w:tcPr>
            <w:tcW w:w="3967" w:type="dxa"/>
          </w:tcPr>
          <w:p>
            <w:pPr/>
            <w:r>
              <w:t xml:space="preserve">AVV</w:t>
            </w:r>
          </w:p>
        </w:tc>
        <w:tc>
          <w:tcPr>
            <w:tcW w:w="5392" w:type="dxa"/>
          </w:tcPr>
          <w:p>
            <w:pPr/>
            <w:r>
              <w:t xml:space="preserve">Auftragsverarbeitungsvertrag zwischen Auftraggeber und Dienstleister</w:t>
            </w:r>
          </w:p>
        </w:tc>
      </w:tr>
      <w:tr>
        <w:tc>
          <w:tcPr>
            <w:tcW w:w="3967" w:type="dxa"/>
          </w:tcPr>
          <w:p>
            <w:pPr/>
            <w:r>
              <w:t xml:space="preserve">Gemeinsame Verantwortlichkeit</w:t>
            </w:r>
          </w:p>
        </w:tc>
        <w:tc>
          <w:tcPr>
            <w:tcW w:w="5392" w:type="dxa"/>
          </w:tcPr>
          <w:p>
            <w:pPr/>
            <w:r>
              <w:t xml:space="preserve">Zwei entscheiden zusammen und regeln in einer Vereinbarung, wer welche Pflicht übernimmt</w:t>
            </w:r>
          </w:p>
        </w:tc>
      </w:tr>
      <w:tr>
        <w:tc>
          <w:tcPr>
            <w:tcW w:w="3967" w:type="dxa"/>
          </w:tcPr>
          <w:p>
            <w:pPr/>
            <w:r>
              <w:t xml:space="preserve">DSFA</w:t>
            </w:r>
          </w:p>
        </w:tc>
        <w:tc>
          <w:tcPr>
            <w:tcW w:w="5392" w:type="dxa"/>
          </w:tcPr>
          <w:p>
            <w:pPr/>
            <w:r>
              <w:t xml:space="preserve">Datenschutz-Folgenabschätzung, eine schriftliche Risikoanalyse vor dem Start</w:t>
            </w:r>
          </w:p>
        </w:tc>
      </w:tr>
      <w:tr>
        <w:tc>
          <w:tcPr>
            <w:tcW w:w="3967" w:type="dxa"/>
          </w:tcPr>
          <w:p>
            <w:pPr/>
            <w:r>
              <w:t xml:space="preserve">DSB</w:t>
            </w:r>
          </w:p>
        </w:tc>
        <w:tc>
          <w:tcPr>
            <w:tcW w:w="5392" w:type="dxa"/>
          </w:tcPr>
          <w:p>
            <w:pPr/>
            <w:r>
              <w:t xml:space="preserve">Datenschutzbeauftragter, berät und kontrolliert, kann extern sein</w:t>
            </w:r>
          </w:p>
        </w:tc>
      </w:tr>
      <w:tr>
        <w:tc>
          <w:tcPr>
            <w:tcW w:w="3967" w:type="dxa"/>
          </w:tcPr>
          <w:p>
            <w:pPr/>
            <w:r>
              <w:t xml:space="preserve">VVT</w:t>
            </w:r>
          </w:p>
        </w:tc>
        <w:tc>
          <w:tcPr>
            <w:tcW w:w="5392" w:type="dxa"/>
          </w:tcPr>
          <w:p>
            <w:pPr/>
            <w:r>
              <w:t xml:space="preserve">Verzeichnis von Verarbeitungstätigkeiten, eine Liste aller Datenverarbeitungen</w:t>
            </w:r>
          </w:p>
        </w:tc>
      </w:tr>
      <w:tr>
        <w:tc>
          <w:tcPr>
            <w:tcW w:w="3967" w:type="dxa"/>
          </w:tcPr>
          <w:p>
            <w:pPr/>
            <w:r>
              <w:t xml:space="preserve">TOM</w:t>
            </w:r>
          </w:p>
        </w:tc>
        <w:tc>
          <w:tcPr>
            <w:tcW w:w="5392" w:type="dxa"/>
          </w:tcPr>
          <w:p>
            <w:pPr/>
            <w:r>
              <w:t xml:space="preserve">Technische und organisatorische Maßnahmen, also Sicherheitsvorkehrungen</w:t>
            </w:r>
          </w:p>
        </w:tc>
      </w:tr>
      <w:tr>
        <w:tc>
          <w:tcPr>
            <w:tcW w:w="3967" w:type="dxa"/>
          </w:tcPr>
          <w:p>
            <w:pPr/>
            <w:r>
              <w:t xml:space="preserve">Pseudonymisierung</w:t>
            </w:r>
          </w:p>
        </w:tc>
        <w:tc>
          <w:tcPr>
            <w:tcW w:w="5392" w:type="dxa"/>
          </w:tcPr>
          <w:p>
            <w:pPr/>
            <w:r>
              <w:t xml:space="preserve">Name und Daten getrennt, nur mit Zusatzschlüssel zuordenbar; für uns weiter personenbezogen</w:t>
            </w:r>
          </w:p>
        </w:tc>
      </w:tr>
      <w:tr>
        <w:tc>
          <w:tcPr>
            <w:tcW w:w="3967" w:type="dxa"/>
          </w:tcPr>
          <w:p>
            <w:pPr/>
            <w:r>
              <w:t xml:space="preserve">Anonymisierung</w:t>
            </w:r>
          </w:p>
        </w:tc>
        <w:tc>
          <w:tcPr>
            <w:tcW w:w="5392" w:type="dxa"/>
          </w:tcPr>
          <w:p>
            <w:pPr/>
            <w:r>
              <w:t xml:space="preserve">Niemand kann die Daten realistisch einer Person zuordnen; dann gilt die DSGVO nicht</w:t>
            </w:r>
          </w:p>
        </w:tc>
      </w:tr>
      <w:tr>
        <w:tc>
          <w:tcPr>
            <w:tcW w:w="3967" w:type="dxa"/>
          </w:tcPr>
          <w:p>
            <w:pPr/>
            <w:r>
              <w:t xml:space="preserve">Data Privacy Framework</w:t>
            </w:r>
          </w:p>
        </w:tc>
        <w:tc>
          <w:tcPr>
            <w:tcW w:w="5392" w:type="dxa"/>
          </w:tcPr>
          <w:p>
            <w:pPr/>
            <w:r>
              <w:t xml:space="preserve">EU-Erlaubnis für Daten an geprüfte US-Firmen</w:t>
            </w:r>
          </w:p>
        </w:tc>
      </w:tr>
      <w:tr>
        <w:tc>
          <w:tcPr>
            <w:tcW w:w="3967" w:type="dxa"/>
          </w:tcPr>
          <w:p>
            <w:pPr/>
            <w:r>
              <w:t xml:space="preserve">Standardvertragsklauseln</w:t>
            </w:r>
          </w:p>
        </w:tc>
        <w:tc>
          <w:tcPr>
            <w:tcW w:w="5392" w:type="dxa"/>
          </w:tcPr>
          <w:p>
            <w:pPr/>
            <w:r>
              <w:t xml:space="preserve">EU-Musterverträge für Daten ins Ausland</w:t>
            </w:r>
          </w:p>
        </w:tc>
      </w:tr>
      <w:tr>
        <w:tc>
          <w:tcPr>
            <w:tcW w:w="3967" w:type="dxa"/>
          </w:tcPr>
          <w:p>
            <w:pPr/>
            <w:r>
              <w:t xml:space="preserve">Double-Opt-In</w:t>
            </w:r>
          </w:p>
        </w:tc>
        <w:tc>
          <w:tcPr>
            <w:tcW w:w="5392" w:type="dxa"/>
          </w:tcPr>
          <w:p>
            <w:pPr/>
            <w:r>
              <w:t xml:space="preserve">Anmeldung plus Bestätigungsklick in einer Mail als Nachweis</w:t>
            </w:r>
          </w:p>
        </w:tc>
      </w:tr>
      <w:tr>
        <w:tc>
          <w:tcPr>
            <w:tcW w:w="3967" w:type="dxa"/>
          </w:tcPr>
          <w:p>
            <w:pPr/>
            <w:r>
              <w:t xml:space="preserve">Abmahnung</w:t>
            </w:r>
          </w:p>
        </w:tc>
        <w:tc>
          <w:tcPr>
            <w:tcW w:w="5392" w:type="dxa"/>
          </w:tcPr>
          <w:p>
            <w:pPr/>
            <w:r>
              <w:t xml:space="preserve">Außergerichtliche Aufforderung, einen Verstoß zu unterlassen</w:t>
            </w:r>
          </w:p>
        </w:tc>
      </w:tr>
      <w:tr>
        <w:tc>
          <w:tcPr>
            <w:tcW w:w="3967" w:type="dxa"/>
          </w:tcPr>
          <w:p>
            <w:pPr/>
            <w:r>
              <w:t xml:space="preserve">BayLDA</w:t>
            </w:r>
          </w:p>
        </w:tc>
        <w:tc>
          <w:tcPr>
            <w:tcW w:w="5392" w:type="dxa"/>
          </w:tcPr>
          <w:p>
            <w:pPr/>
            <w:r>
              <w:t xml:space="preserve">Bayerisches Landesamt für Datenschutzaufsicht, unsere zuständige Behörde</w:t>
            </w:r>
          </w:p>
        </w:tc>
      </w:tr>
      <w:tr>
        <w:tc>
          <w:tcPr>
            <w:tcW w:w="3967" w:type="dxa"/>
          </w:tcPr>
          <w:p>
            <w:pPr/>
            <w:r>
              <w:t xml:space="preserve">Protected Customer Data</w:t>
            </w:r>
          </w:p>
        </w:tc>
        <w:tc>
          <w:tcPr>
            <w:tcW w:w="5392" w:type="dxa"/>
          </w:tcPr>
          <w:p>
            <w:pPr/>
            <w:r>
              <w:t xml:space="preserve">Shopifys Bezeichnung für Kundendaten, auf die Apps nur mit Genehmigung zugreifen dürfen</w:t>
            </w:r>
          </w:p>
        </w:tc>
      </w:tr>
    </w:tbl>
    <w:p>
      <w:pPr/>
      <w:r>
        <w:rPr>
          <w:b/>
        </w:rPr>
        <w:t xml:space="preserve">Wichtigste Quellen</w:t>
      </w:r>
      <w:r>
        <w:t xml:space="preserve"> (abgerufen am 21.10.2026):</w:t>
      </w:r>
    </w:p>
    <w:p>
      <w:pPr>
        <w:pStyle w:val="ListParagraph"/>
        <w:numPr>
          <w:ilvl w:val="0"/>
          <w:numId w:val="7"/>
        </w:numPr>
      </w:pPr>
      <w:hyperlink r:id="rId4" w:history="1">
        <w:r>
          <w:rPr>
            <w:rStyle w:val="Hyperlink"/>
          </w:rPr>
          <w:t xml:space="preserve">DSK-Muss-Liste zur Datenschutz-Folgenabschätzung (BayLDA)</w:t>
        </w:r>
      </w:hyperlink>
    </w:p>
    <w:p>
      <w:pPr>
        <w:pStyle w:val="ListParagraph"/>
        <w:numPr>
          <w:ilvl w:val="0"/>
          <w:numId w:val="7"/>
        </w:numPr>
      </w:pPr>
      <w:hyperlink r:id="rId5" w:history="1">
        <w:r>
          <w:rPr>
            <w:rStyle w:val="Hyperlink"/>
          </w:rPr>
          <w:t xml:space="preserve">DSK-Orientierungshilfe Digitale Dienste (localStorage, Cookies)</w:t>
        </w:r>
      </w:hyperlink>
    </w:p>
    <w:p>
      <w:pPr>
        <w:pStyle w:val="ListParagraph"/>
        <w:numPr>
          <w:ilvl w:val="0"/>
          <w:numId w:val="7"/>
        </w:numPr>
      </w:pPr>
      <w:hyperlink r:id="rId6" w:history="1">
        <w:r>
          <w:rPr>
            <w:rStyle w:val="Hyperlink"/>
          </w:rPr>
          <w:t xml:space="preserve">§ 38 BDSG</w:t>
        </w:r>
      </w:hyperlink>
      <w:r>
        <w:t xml:space="preserve"> · </w:t>
      </w:r>
      <w:hyperlink r:id="rId7" w:history="1">
        <w:r>
          <w:rPr>
            <w:rStyle w:val="Hyperlink"/>
          </w:rPr>
          <w:t xml:space="preserve">§ 7 UWG</w:t>
        </w:r>
      </w:hyperlink>
      <w:r>
        <w:t xml:space="preserve"> · </w:t>
      </w:r>
      <w:hyperlink r:id="rId8" w:history="1">
        <w:r>
          <w:rPr>
            <w:rStyle w:val="Hyperlink"/>
          </w:rPr>
          <w:t xml:space="preserve">§ 13 UWG</w:t>
        </w:r>
      </w:hyperlink>
    </w:p>
    <w:p>
      <w:pPr>
        <w:pStyle w:val="ListParagraph"/>
        <w:numPr>
          <w:ilvl w:val="0"/>
          <w:numId w:val="7"/>
        </w:numPr>
      </w:pPr>
      <w:hyperlink r:id="rId9" w:history="1">
        <w:r>
          <w:rPr>
            <w:rStyle w:val="Hyperlink"/>
          </w:rPr>
          <w:t xml:space="preserve">BGH VI ZR 10/24, Schadensersatz bei Kontrollverlust (BRAK)</w:t>
        </w:r>
      </w:hyperlink>
    </w:p>
    <w:p>
      <w:pPr>
        <w:pStyle w:val="ListParagraph"/>
        <w:numPr>
          <w:ilvl w:val="0"/>
          <w:numId w:val="7"/>
        </w:numPr>
      </w:pPr>
      <w:hyperlink r:id="rId10" w:history="1">
        <w:r>
          <w:rPr>
            <w:rStyle w:val="Hyperlink"/>
          </w:rPr>
          <w:t xml:space="preserve">BGH VI ZR 225/17, Umfrage-Mail ist Werbung</w:t>
        </w:r>
      </w:hyperlink>
    </w:p>
    <w:p>
      <w:pPr>
        <w:pStyle w:val="ListParagraph"/>
        <w:numPr>
          <w:ilvl w:val="0"/>
          <w:numId w:val="7"/>
        </w:numPr>
      </w:pPr>
      <w:hyperlink r:id="rId11" w:history="1">
        <w:r>
          <w:rPr>
            <w:rStyle w:val="Hyperlink"/>
          </w:rPr>
          <w:t xml:space="preserve">Shopify: Protected Customer Data</w:t>
        </w:r>
      </w:hyperlink>
      <w:r>
        <w:t xml:space="preserve"> · </w:t>
      </w:r>
      <w:hyperlink r:id="rId12" w:history="1">
        <w:r>
          <w:rPr>
            <w:rStyle w:val="Hyperlink"/>
          </w:rPr>
          <w:t xml:space="preserve">Shopify: Datenschutz-Webhooks</w:t>
        </w:r>
      </w:hyperlink>
    </w:p>
    <w:p>
      <w:pPr>
        <w:pStyle w:val="ListParagraph"/>
        <w:numPr>
          <w:ilvl w:val="0"/>
          <w:numId w:val="7"/>
        </w:numPr>
      </w:pPr>
      <w:hyperlink r:id="rId13" w:history="1">
        <w:r>
          <w:rPr>
            <w:rStyle w:val="Hyperlink"/>
          </w:rPr>
          <w:t xml:space="preserve">Render: Data Processing Agreement</w:t>
        </w:r>
      </w:hyperlink>
      <w:r>
        <w:t xml:space="preserve"> · </w:t>
      </w:r>
      <w:hyperlink r:id="rId14" w:history="1">
        <w:r>
          <w:rPr>
            <w:rStyle w:val="Hyperlink"/>
          </w:rPr>
          <w:t xml:space="preserve">Brevo: Nutzungsbedingungen mit AVV</w:t>
        </w:r>
      </w:hyperlink>
    </w:p>
    <w:p>
      <w:pPr>
        <w:pStyle w:val="ListParagraph"/>
        <w:numPr>
          <w:ilvl w:val="0"/>
          <w:numId w:val="7"/>
        </w:numPr>
      </w:pPr>
      <w:hyperlink r:id="rId15" w:history="1">
        <w:r>
          <w:rPr>
            <w:rStyle w:val="Hyperlink"/>
          </w:rPr>
          <w:t xml:space="preserve">Deutsche Rentenversicherung: Rechtliche Anweisung zu Art. 9</w:t>
        </w:r>
      </w:hyperlink>
    </w:p>
    <w:p>
      <w:pPr>
        <w:pStyle w:val="ListParagraph"/>
        <w:numPr>
          <w:ilvl w:val="0"/>
          <w:numId w:val="7"/>
        </w:numPr>
      </w:pPr>
      <w:hyperlink r:id="rId16" w:history="1">
        <w:r>
          <w:rPr>
            <w:rStyle w:val="Hyperlink"/>
          </w:rPr>
          <w:t xml:space="preserve">Bundestag WD 3 – 3000 – 015/18, Altersgrenze 16</w:t>
        </w:r>
      </w:hyperlink>
    </w:p>
    <w:p>
      <w:pPr/>
      <w:r>
        <w:t xml:space="preserve">Dieses Dokument ersetzt keine Rechtsberatung.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lda.bayern.de/media/dsfa_muss_liste_dsk_de.pdf" TargetMode="External"/><Relationship Id="rId5" Type="http://schemas.openxmlformats.org/officeDocument/2006/relationships/hyperlink" Target="https://www.datenschutzkonferenz-online.de/media/oh/OH_Digitale_Dienste.pdf" TargetMode="External"/><Relationship Id="rId6" Type="http://schemas.openxmlformats.org/officeDocument/2006/relationships/hyperlink" Target="https://dejure.org/gesetze/BDSG/38.html" TargetMode="External"/><Relationship Id="rId7" Type="http://schemas.openxmlformats.org/officeDocument/2006/relationships/hyperlink" Target="https://www.gesetze-im-internet.de/uwg_2004/__7.html" TargetMode="External"/><Relationship Id="rId8" Type="http://schemas.openxmlformats.org/officeDocument/2006/relationships/hyperlink" Target="https://www.gesetze-im-internet.de/uwg_2004/__13.html" TargetMode="External"/><Relationship Id="rId9" Type="http://schemas.openxmlformats.org/officeDocument/2006/relationships/hyperlink" Target="https://www.brak.de/newsroom/news/facebook-scraping-bgh-trifft-grundsatzentscheidung-zum-dsgvo-schadensersatz/" TargetMode="External"/><Relationship Id="rId10" Type="http://schemas.openxmlformats.org/officeDocument/2006/relationships/hyperlink" Target="https://www.anwalt-suchservice.de/rechtstipps/bgh_urt_10_7_2018_-_vi_zr_225_17_25165.html" TargetMode="External"/><Relationship Id="rId11" Type="http://schemas.openxmlformats.org/officeDocument/2006/relationships/hyperlink" Target="https://shopify.dev/docs/apps/launch/protected-customer-data" TargetMode="External"/><Relationship Id="rId12" Type="http://schemas.openxmlformats.org/officeDocument/2006/relationships/hyperlink" Target="https://shopify.dev/docs/apps/build/compliance/privacy-law-compliance" TargetMode="External"/><Relationship Id="rId13" Type="http://schemas.openxmlformats.org/officeDocument/2006/relationships/hyperlink" Target="https://render.com/dpa" TargetMode="External"/><Relationship Id="rId14" Type="http://schemas.openxmlformats.org/officeDocument/2006/relationships/hyperlink" Target="https://www.brevo.com/legal/termsofuse/" TargetMode="External"/><Relationship Id="rId15" Type="http://schemas.openxmlformats.org/officeDocument/2006/relationships/hyperlink" Target="https://rvrecht.deutsche-rentenversicherung.de/SharedDocs/rvRecht/04_GRA_Sonstige/DSGVO/gra_dsgvo_a_0009.html" TargetMode="External"/><Relationship Id="rId16" Type="http://schemas.openxmlformats.org/officeDocument/2006/relationships/hyperlink" Target="https://www.bundestag.de/resource/blob/548306/b203b0582317cdbb979426b61e6dbda1/WD-3-015-18-pdf-data.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Ommetryx Datenschutz verständlich erklärt</dc:title>
  <dc:description>Claude Docs node/3b34fa7e-aa27@9 docx-w7</dc:description>
  <cp:revision>9</cp:revision>
</cp:coreProperties>
</file>