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80" w:after="0" w:line="360" w:lineRule="auto"/>
        <w:jc w:val="center"/>
      </w:pPr>
      <w:r>
        <w:rPr>
          <w:rFonts w:ascii="Arial" w:hAnsi="Arial" w:eastAsia="Arial"/>
          <w:b/>
          <w:i w:val="0"/>
          <w:sz w:val="24"/>
        </w:rPr>
        <w:t>UNIVERSIDADE PAULISTA - UNIP</w:t>
      </w:r>
    </w:p>
    <w:p>
      <w:pPr>
        <w:spacing w:before="2400" w:after="0" w:line="360" w:lineRule="auto"/>
        <w:jc w:val="center"/>
      </w:pPr>
      <w:r>
        <w:rPr>
          <w:rFonts w:ascii="Arial" w:hAnsi="Arial" w:eastAsia="Arial"/>
          <w:b w:val="0"/>
          <w:i w:val="0"/>
          <w:sz w:val="24"/>
        </w:rPr>
        <w:t>ENRICO GARCIA SILVA COSTA</w:t>
      </w:r>
    </w:p>
    <w:p>
      <w:pPr>
        <w:spacing w:before="0" w:after="0" w:line="360" w:lineRule="auto"/>
        <w:jc w:val="center"/>
      </w:pPr>
      <w:r>
        <w:rPr>
          <w:rFonts w:ascii="Arial" w:hAnsi="Arial" w:eastAsia="Arial"/>
          <w:b w:val="0"/>
          <w:i w:val="0"/>
          <w:sz w:val="24"/>
        </w:rPr>
        <w:t>LEONARDO PEDROZO ELIAS RODRIGUES</w:t>
      </w:r>
    </w:p>
    <w:p>
      <w:pPr>
        <w:spacing w:before="2400" w:after="0" w:line="360" w:lineRule="auto"/>
        <w:jc w:val="center"/>
      </w:pPr>
      <w:r>
        <w:rPr>
          <w:rFonts w:ascii="Arial" w:hAnsi="Arial" w:eastAsia="Arial"/>
          <w:b/>
          <w:i w:val="0"/>
          <w:sz w:val="24"/>
        </w:rPr>
        <w:t>DESENVOLVIMENTO E AVALIAÇÃO TÉCNICA DE UM SISTEMA IOT DE BAIXO CUSTO PARA MONITORAMENTO AMBIENTAL EM SALAS DE AULA</w:t>
      </w:r>
    </w:p>
    <w:p>
      <w:pPr>
        <w:spacing w:before="3000" w:after="0" w:line="360" w:lineRule="auto"/>
        <w:jc w:val="center"/>
      </w:pPr>
      <w:r>
        <w:rPr>
          <w:rFonts w:ascii="Arial" w:hAnsi="Arial" w:eastAsia="Arial"/>
          <w:b w:val="0"/>
          <w:i w:val="0"/>
          <w:sz w:val="24"/>
        </w:rPr>
        <w:t>ARAÇATUBA - SP</w:t>
      </w:r>
      <w:r>
        <w:br/>
      </w:r>
      <w:r>
        <w:rPr>
          <w:rFonts w:ascii="Arial" w:hAnsi="Arial" w:eastAsia="Arial"/>
          <w:b w:val="0"/>
          <w:i w:val="0"/>
          <w:sz w:val="24"/>
        </w:rPr>
        <w:t>2026</w:t>
      </w:r>
    </w:p>
    <w:p>
      <w:r>
        <w:br w:type="page"/>
      </w:r>
    </w:p>
    <w:p>
      <w:pPr>
        <w:spacing w:before="360" w:after="0" w:line="360" w:lineRule="auto"/>
        <w:jc w:val="center"/>
      </w:pPr>
      <w:r>
        <w:rPr>
          <w:rFonts w:ascii="Arial" w:hAnsi="Arial" w:eastAsia="Arial"/>
          <w:b w:val="0"/>
          <w:i w:val="0"/>
          <w:sz w:val="24"/>
        </w:rPr>
        <w:t>ENRICO GARCIA SILVA COSTA</w:t>
      </w:r>
    </w:p>
    <w:p>
      <w:pPr>
        <w:spacing w:before="0" w:after="0" w:line="360" w:lineRule="auto"/>
        <w:jc w:val="center"/>
      </w:pPr>
      <w:r>
        <w:rPr>
          <w:rFonts w:ascii="Arial" w:hAnsi="Arial" w:eastAsia="Arial"/>
          <w:b w:val="0"/>
          <w:i w:val="0"/>
          <w:sz w:val="24"/>
        </w:rPr>
        <w:t>LEONARDO PEDROZO ELIAS RODRIGUES</w:t>
      </w:r>
    </w:p>
    <w:p>
      <w:pPr>
        <w:spacing w:before="1680" w:after="0" w:line="360" w:lineRule="auto"/>
        <w:jc w:val="center"/>
      </w:pPr>
      <w:r>
        <w:rPr>
          <w:rFonts w:ascii="Arial" w:hAnsi="Arial" w:eastAsia="Arial"/>
          <w:b/>
          <w:i w:val="0"/>
          <w:sz w:val="24"/>
        </w:rPr>
        <w:t>DESENVOLVIMENTO E AVALIAÇÃO TÉCNICA DE UM SISTEMA IOT DE BAIXO CUSTO PARA MONITORAMENTO AMBIENTAL EM SALAS DE AULA</w:t>
      </w:r>
    </w:p>
    <w:p>
      <w:pPr>
        <w:spacing w:before="0" w:after="0" w:line="240" w:lineRule="auto"/>
        <w:ind w:left="4535"/>
        <w:jc w:val="both"/>
      </w:pPr>
      <w:r>
        <w:rPr>
          <w:rFonts w:ascii="Arial" w:hAnsi="Arial" w:eastAsia="Arial"/>
          <w:b w:val="0"/>
          <w:i w:val="0"/>
          <w:sz w:val="20"/>
        </w:rPr>
        <w:t>Trabalho de Conclusão de Curso para obtenção do título de Bacharel em Ciência da Computação apresentado à Universidade Paulista - UNIP.</w:t>
      </w:r>
    </w:p>
    <w:p>
      <w:pPr>
        <w:spacing w:before="0" w:after="0" w:line="240" w:lineRule="auto"/>
        <w:ind w:left="4535"/>
        <w:jc w:val="left"/>
      </w:pPr>
      <w:r>
        <w:rPr>
          <w:rFonts w:ascii="Arial" w:hAnsi="Arial" w:eastAsia="Arial"/>
          <w:b w:val="0"/>
          <w:i w:val="0"/>
          <w:sz w:val="20"/>
        </w:rPr>
        <w:t>Orientador: Prof. Me. Rafael Marcelino de Jesus</w:t>
      </w:r>
    </w:p>
    <w:p>
      <w:pPr>
        <w:spacing w:before="3000" w:after="0" w:line="360" w:lineRule="auto"/>
        <w:jc w:val="center"/>
      </w:pPr>
      <w:r>
        <w:rPr>
          <w:rFonts w:ascii="Arial" w:hAnsi="Arial" w:eastAsia="Arial"/>
          <w:b w:val="0"/>
          <w:i w:val="0"/>
          <w:sz w:val="24"/>
        </w:rPr>
        <w:t>ARAÇATUBA - SP</w:t>
      </w:r>
      <w:r>
        <w:br/>
      </w:r>
      <w:r>
        <w:rPr>
          <w:rFonts w:ascii="Arial" w:hAnsi="Arial" w:eastAsia="Arial"/>
          <w:b w:val="0"/>
          <w:i w:val="0"/>
          <w:sz w:val="24"/>
        </w:rPr>
        <w:t>2026</w:t>
      </w:r>
    </w:p>
    <w:p>
      <w:r>
        <w:br w:type="page"/>
      </w:r>
    </w:p>
    <w:p>
      <w:pPr>
        <w:spacing w:before="480" w:after="0" w:line="360" w:lineRule="auto"/>
        <w:jc w:val="center"/>
      </w:pPr>
      <w:r>
        <w:rPr>
          <w:rFonts w:ascii="Arial" w:hAnsi="Arial" w:eastAsia="Arial"/>
          <w:b/>
          <w:i w:val="0"/>
          <w:sz w:val="24"/>
        </w:rPr>
        <w:t>FOLHA DE APROVAÇÃO</w:t>
      </w:r>
    </w:p>
    <w:p>
      <w:pPr>
        <w:spacing w:before="480" w:after="0" w:line="360" w:lineRule="auto"/>
        <w:jc w:val="center"/>
      </w:pPr>
      <w:r>
        <w:rPr>
          <w:rFonts w:ascii="Arial" w:hAnsi="Arial" w:eastAsia="Arial"/>
          <w:b w:val="0"/>
          <w:i w:val="0"/>
          <w:sz w:val="24"/>
        </w:rPr>
        <w:t>ENRICO GARCIA SILVA COSTA</w:t>
      </w:r>
    </w:p>
    <w:p>
      <w:pPr>
        <w:spacing w:before="0" w:after="0" w:line="360" w:lineRule="auto"/>
        <w:jc w:val="center"/>
      </w:pPr>
      <w:r>
        <w:rPr>
          <w:rFonts w:ascii="Arial" w:hAnsi="Arial" w:eastAsia="Arial"/>
          <w:b w:val="0"/>
          <w:i w:val="0"/>
          <w:sz w:val="24"/>
        </w:rPr>
        <w:t>LEONARDO PEDROZO ELIAS RODRIGUES</w:t>
      </w:r>
    </w:p>
    <w:p>
      <w:pPr>
        <w:spacing w:before="720" w:after="0" w:line="360" w:lineRule="auto"/>
        <w:jc w:val="center"/>
      </w:pPr>
      <w:r>
        <w:rPr>
          <w:rFonts w:ascii="Arial" w:hAnsi="Arial" w:eastAsia="Arial"/>
          <w:b/>
          <w:i w:val="0"/>
          <w:sz w:val="24"/>
        </w:rPr>
        <w:t>DESENVOLVIMENTO E AVALIAÇÃO TÉCNICA DE UM SISTEMA IOT DE BAIXO CUSTO PARA MONITORAMENTO AMBIENTAL EM SALAS DE AULA</w:t>
      </w:r>
    </w:p>
    <w:p>
      <w:pPr>
        <w:spacing w:before="0" w:after="0" w:line="240" w:lineRule="auto"/>
        <w:ind w:left="4535"/>
        <w:jc w:val="both"/>
      </w:pPr>
      <w:r>
        <w:rPr>
          <w:rFonts w:ascii="Arial" w:hAnsi="Arial" w:eastAsia="Arial"/>
          <w:b w:val="0"/>
          <w:i w:val="0"/>
          <w:sz w:val="20"/>
        </w:rPr>
        <w:t>Trabalho de Conclusão de Curso para obtenção do título de Bacharel em Ciência da Computação apresentado à Universidade Paulista - UNIP.</w:t>
      </w:r>
    </w:p>
    <w:p>
      <w:pPr>
        <w:spacing w:before="960" w:after="0" w:line="360" w:lineRule="auto"/>
        <w:jc w:val="center"/>
      </w:pPr>
      <w:r>
        <w:rPr>
          <w:rFonts w:ascii="Arial" w:hAnsi="Arial" w:eastAsia="Arial"/>
          <w:b w:val="0"/>
          <w:i w:val="0"/>
          <w:sz w:val="24"/>
        </w:rPr>
        <w:t>Aprovado em: ____/____/______</w:t>
      </w:r>
    </w:p>
    <w:p>
      <w:pPr>
        <w:spacing w:before="480" w:after="0" w:line="360" w:lineRule="auto"/>
        <w:jc w:val="center"/>
      </w:pPr>
      <w:r>
        <w:rPr>
          <w:rFonts w:ascii="Arial" w:hAnsi="Arial" w:eastAsia="Arial"/>
          <w:b/>
          <w:i w:val="0"/>
          <w:sz w:val="24"/>
        </w:rPr>
        <w:t>BANCA EXAMINADORA</w:t>
      </w:r>
    </w:p>
    <w:p>
      <w:pPr>
        <w:spacing w:before="480" w:after="0" w:line="360" w:lineRule="auto"/>
        <w:jc w:val="center"/>
      </w:pPr>
      <w:r>
        <w:rPr>
          <w:rFonts w:ascii="Arial" w:hAnsi="Arial" w:eastAsia="Arial"/>
          <w:b w:val="0"/>
          <w:i w:val="0"/>
          <w:sz w:val="24"/>
        </w:rPr>
        <w:t>________________________________________</w:t>
      </w:r>
      <w:r>
        <w:br/>
      </w:r>
      <w:r>
        <w:rPr>
          <w:rFonts w:ascii="Arial" w:hAnsi="Arial" w:eastAsia="Arial"/>
          <w:b w:val="0"/>
          <w:i w:val="0"/>
          <w:sz w:val="24"/>
        </w:rPr>
        <w:t>Prof.(a): ____________________________________</w:t>
      </w:r>
      <w:r>
        <w:br/>
      </w:r>
      <w:r>
        <w:rPr>
          <w:rFonts w:ascii="Arial" w:hAnsi="Arial" w:eastAsia="Arial"/>
          <w:b w:val="0"/>
          <w:i w:val="0"/>
          <w:sz w:val="24"/>
        </w:rPr>
        <w:t>Universidade Paulista - UNIP</w:t>
      </w:r>
    </w:p>
    <w:p>
      <w:pPr>
        <w:spacing w:before="360" w:after="0" w:line="360" w:lineRule="auto"/>
        <w:jc w:val="center"/>
      </w:pPr>
      <w:r>
        <w:rPr>
          <w:rFonts w:ascii="Arial" w:hAnsi="Arial" w:eastAsia="Arial"/>
          <w:b w:val="0"/>
          <w:i w:val="0"/>
          <w:sz w:val="24"/>
        </w:rPr>
        <w:t>________________________________________</w:t>
      </w:r>
      <w:r>
        <w:br/>
      </w:r>
      <w:r>
        <w:rPr>
          <w:rFonts w:ascii="Arial" w:hAnsi="Arial" w:eastAsia="Arial"/>
          <w:b w:val="0"/>
          <w:i w:val="0"/>
          <w:sz w:val="24"/>
        </w:rPr>
        <w:t>Prof.(a): ____________________________________</w:t>
      </w:r>
      <w:r>
        <w:br/>
      </w:r>
      <w:r>
        <w:rPr>
          <w:rFonts w:ascii="Arial" w:hAnsi="Arial" w:eastAsia="Arial"/>
          <w:b w:val="0"/>
          <w:i w:val="0"/>
          <w:sz w:val="24"/>
        </w:rPr>
        <w:t>Universidade Paulista - UNIP</w:t>
      </w:r>
    </w:p>
    <w:p>
      <w:r>
        <w:br w:type="page"/>
      </w:r>
    </w:p>
    <w:p>
      <w:pPr>
        <w:spacing w:before="480" w:after="0" w:line="360" w:lineRule="auto"/>
        <w:jc w:val="center"/>
      </w:pPr>
      <w:r>
        <w:rPr>
          <w:rFonts w:ascii="Arial" w:hAnsi="Arial" w:eastAsia="Arial"/>
          <w:b/>
          <w:i w:val="0"/>
          <w:sz w:val="24"/>
        </w:rPr>
        <w:t>AGRADECIMENTOS</w:t>
      </w:r>
    </w:p>
    <w:p>
      <w:pPr>
        <w:spacing w:before="1440" w:after="0" w:line="360" w:lineRule="auto"/>
        <w:jc w:val="center"/>
      </w:pPr>
      <w:r>
        <w:rPr>
          <w:rFonts w:ascii="Arial" w:hAnsi="Arial" w:eastAsia="Arial"/>
          <w:b w:val="0"/>
          <w:i w:val="0"/>
          <w:sz w:val="24"/>
        </w:rPr>
        <w:t>Texto a ser definido pelos autores.</w:t>
      </w:r>
    </w:p>
    <w:p>
      <w:r>
        <w:br w:type="page"/>
      </w:r>
    </w:p>
    <w:p>
      <w:pPr>
        <w:spacing w:before="480" w:after="0" w:line="360" w:lineRule="auto"/>
        <w:jc w:val="center"/>
      </w:pPr>
      <w:r>
        <w:rPr>
          <w:rFonts w:ascii="Arial" w:hAnsi="Arial" w:eastAsia="Arial"/>
          <w:b/>
          <w:i w:val="0"/>
          <w:sz w:val="24"/>
        </w:rPr>
        <w:t>RESUMO</w:t>
      </w:r>
    </w:p>
    <w:p>
      <w:pPr>
        <w:spacing w:before="0" w:after="120" w:line="360" w:lineRule="auto"/>
        <w:ind w:firstLine="709"/>
        <w:jc w:val="both"/>
      </w:pPr>
      <w:r>
        <w:rPr>
          <w:rFonts w:ascii="Arial" w:hAnsi="Arial" w:eastAsia="Arial"/>
          <w:b w:val="0"/>
          <w:i w:val="0"/>
          <w:sz w:val="24"/>
        </w:rPr>
        <w:t xml:space="preserve">Este trabalho desenvolveu e avaliou tecnicamente um sistema de Internet das Coisas de baixo custo para o monitoramento de temperatura do ar, umidade relativa e iluminância. A solução integrou nó físico com sensores, firmware, comunicação HTTP/JSON, API, banco de dados MySQL e aplicação web para consulta, histórico, relatórios e telemetria operacional. Foram realizados testes controlados de software e três sessões formais de estabilidade operacional, com intervalo de aquisição configurado em 60 s. Nas sessões, que totalizaram 26 h 52 min, foram armazenadas 1.609 das 1.614 posições esperadas, correspondendo a 99,690% de completude. As medições analisadas permaneceram válidas e sincronizadas, demonstrando o funcionamento técnico da cadeia de aquisição, transmissão, armazenamento e consulta no recorte avaliado. Palavras-chave: Internet das Coisas. Monitoramento ambiental. Sensores de baixo custo. Salas de aula. Rastreabilidade de dados. </w:t>
      </w:r>
    </w:p>
    <w:p>
      <w:r>
        <w:br w:type="page"/>
      </w:r>
    </w:p>
    <w:p>
      <w:pPr>
        <w:spacing w:before="480" w:after="0" w:line="360" w:lineRule="auto"/>
        <w:jc w:val="center"/>
      </w:pPr>
      <w:r>
        <w:rPr>
          <w:rFonts w:ascii="Arial" w:hAnsi="Arial" w:eastAsia="Arial"/>
          <w:b/>
          <w:i w:val="0"/>
          <w:sz w:val="24"/>
        </w:rPr>
        <w:t>ABSTRACT</w:t>
      </w:r>
    </w:p>
    <w:p>
      <w:pPr>
        <w:spacing w:before="0" w:after="120" w:line="360" w:lineRule="auto"/>
        <w:ind w:firstLine="709"/>
        <w:jc w:val="both"/>
      </w:pPr>
      <w:r>
        <w:rPr>
          <w:rFonts w:ascii="Arial" w:hAnsi="Arial" w:eastAsia="Arial"/>
          <w:b w:val="0"/>
          <w:i w:val="0"/>
          <w:sz w:val="24"/>
        </w:rPr>
        <w:t xml:space="preserve">This study developed and technically evaluated a low-cost Internet of Things system for monitoring air temperature, relative humidity, and illuminance. The solution integrated a physical sensor node, firmware, HTTP/JSON communication, an API, a MySQL database, and a web application for querying, history, reports, and operational telemetry. Controlled software tests and three formal operational-stability sessions were conducted using a 60-second acquisition interval. Across the sessions, totaling 26 h 52 min, 1,609 of 1,614 expected positions were stored, corresponding to 99.690% completeness. The analyzed measurements remained valid and synchronized, demonstrating the technical operation of the acquisition, transmission, storage, and query chain within the evaluated scope. Keywords: Internet of Things. Environmental monitoring. Low-cost sensors. Classrooms. Data traceability. </w:t>
      </w:r>
    </w:p>
    <w:p>
      <w:r>
        <w:br w:type="page"/>
      </w:r>
    </w:p>
    <w:p>
      <w:pPr>
        <w:spacing w:before="480" w:after="0" w:line="360" w:lineRule="auto"/>
        <w:jc w:val="center"/>
      </w:pPr>
      <w:r>
        <w:rPr>
          <w:rFonts w:ascii="Arial" w:hAnsi="Arial" w:eastAsia="Arial"/>
          <w:b/>
          <w:i w:val="0"/>
          <w:sz w:val="24"/>
        </w:rPr>
        <w:t>LISTA DE ABREVIATURAS E SIGLAS</w:t>
      </w:r>
    </w:p>
    <w:p>
      <w:pPr>
        <w:spacing w:before="0" w:after="40" w:line="240" w:lineRule="auto"/>
        <w:jc w:val="left"/>
      </w:pPr>
      <w:r>
        <w:rPr>
          <w:rFonts w:ascii="Arial" w:hAnsi="Arial" w:eastAsia="Arial"/>
          <w:b w:val="0"/>
          <w:i w:val="0"/>
          <w:sz w:val="24"/>
        </w:rPr>
        <w:t>API - Application Programming Interface</w:t>
      </w:r>
    </w:p>
    <w:p>
      <w:pPr>
        <w:spacing w:before="0" w:after="40" w:line="240" w:lineRule="auto"/>
        <w:jc w:val="left"/>
      </w:pPr>
      <w:r>
        <w:rPr>
          <w:rFonts w:ascii="Arial" w:hAnsi="Arial" w:eastAsia="Arial"/>
          <w:b w:val="0"/>
          <w:i w:val="0"/>
          <w:sz w:val="24"/>
        </w:rPr>
        <w:t>HTTP - Hypertext Transfer Protocol</w:t>
      </w:r>
    </w:p>
    <w:p>
      <w:pPr>
        <w:spacing w:before="0" w:after="40" w:line="240" w:lineRule="auto"/>
        <w:jc w:val="left"/>
      </w:pPr>
      <w:r>
        <w:rPr>
          <w:rFonts w:ascii="Arial" w:hAnsi="Arial" w:eastAsia="Arial"/>
          <w:b w:val="0"/>
          <w:i w:val="0"/>
          <w:sz w:val="24"/>
        </w:rPr>
        <w:t>I2C - Inter-Integrated Circuit</w:t>
      </w:r>
    </w:p>
    <w:p>
      <w:pPr>
        <w:spacing w:before="0" w:after="40" w:line="240" w:lineRule="auto"/>
        <w:jc w:val="left"/>
      </w:pPr>
      <w:r>
        <w:rPr>
          <w:rFonts w:ascii="Arial" w:hAnsi="Arial" w:eastAsia="Arial"/>
          <w:b w:val="0"/>
          <w:i w:val="0"/>
          <w:sz w:val="24"/>
        </w:rPr>
        <w:t>IoT - Internet das Coisas</w:t>
      </w:r>
    </w:p>
    <w:p>
      <w:pPr>
        <w:spacing w:before="0" w:after="40" w:line="240" w:lineRule="auto"/>
        <w:jc w:val="left"/>
      </w:pPr>
      <w:r>
        <w:rPr>
          <w:rFonts w:ascii="Arial" w:hAnsi="Arial" w:eastAsia="Arial"/>
          <w:b w:val="0"/>
          <w:i w:val="0"/>
          <w:sz w:val="24"/>
        </w:rPr>
        <w:t>JSON - JavaScript Object Notation</w:t>
      </w:r>
    </w:p>
    <w:p>
      <w:pPr>
        <w:spacing w:before="0" w:after="40" w:line="240" w:lineRule="auto"/>
        <w:jc w:val="left"/>
      </w:pPr>
      <w:r>
        <w:rPr>
          <w:rFonts w:ascii="Arial" w:hAnsi="Arial" w:eastAsia="Arial"/>
          <w:b w:val="0"/>
          <w:i w:val="0"/>
          <w:sz w:val="24"/>
        </w:rPr>
        <w:t>MAE - Erro absoluto médio</w:t>
      </w:r>
    </w:p>
    <w:p>
      <w:pPr>
        <w:spacing w:before="0" w:after="40" w:line="240" w:lineRule="auto"/>
        <w:jc w:val="left"/>
      </w:pPr>
      <w:r>
        <w:rPr>
          <w:rFonts w:ascii="Arial" w:hAnsi="Arial" w:eastAsia="Arial"/>
          <w:b w:val="0"/>
          <w:i w:val="0"/>
          <w:sz w:val="24"/>
        </w:rPr>
        <w:t>MySQL - Sistema gerenciador de banco de dados relacional</w:t>
      </w:r>
    </w:p>
    <w:p>
      <w:pPr>
        <w:spacing w:before="0" w:after="40" w:line="240" w:lineRule="auto"/>
        <w:jc w:val="left"/>
      </w:pPr>
      <w:r>
        <w:rPr>
          <w:rFonts w:ascii="Arial" w:hAnsi="Arial" w:eastAsia="Arial"/>
          <w:b w:val="0"/>
          <w:i w:val="0"/>
          <w:sz w:val="24"/>
        </w:rPr>
        <w:t>P95 - Percentil 95</w:t>
      </w:r>
    </w:p>
    <w:p>
      <w:pPr>
        <w:spacing w:before="0" w:after="40" w:line="240" w:lineRule="auto"/>
        <w:jc w:val="left"/>
      </w:pPr>
      <w:r>
        <w:rPr>
          <w:rFonts w:ascii="Arial" w:hAnsi="Arial" w:eastAsia="Arial"/>
          <w:b w:val="0"/>
          <w:i w:val="0"/>
          <w:sz w:val="24"/>
        </w:rPr>
        <w:t>RMSE - Raiz do erro quadrático médio</w:t>
      </w:r>
    </w:p>
    <w:p>
      <w:r>
        <w:br w:type="page"/>
      </w:r>
    </w:p>
    <w:p>
      <w:pPr>
        <w:spacing w:before="480" w:after="0" w:line="360" w:lineRule="auto"/>
        <w:jc w:val="center"/>
      </w:pPr>
      <w:r>
        <w:rPr>
          <w:rFonts w:ascii="Arial" w:hAnsi="Arial" w:eastAsia="Arial"/>
          <w:b/>
          <w:i w:val="0"/>
          <w:sz w:val="24"/>
        </w:rPr>
        <w:t>SUMÁRIO</w:t>
      </w:r>
    </w:p>
    <w:p>
      <w:fldSimple w:instr="TOC \o &quot;1-3&quot; \h \z \u"/>
    </w:p>
    <w:p>
      <w:r>
        <w:br w:type="page"/>
      </w:r>
    </w:p>
    <w:p>
      <w:r>
        <w:br w:type="page"/>
      </w:r>
    </w:p>
    <w:p>
      <w:pPr>
        <w:pStyle w:val="Ttulo1"/>
        <w:spacing w:before="240" w:after="120" w:line="360" w:lineRule="auto"/>
        <w:jc w:val="left"/>
      </w:pPr>
      <w:r>
        <w:rPr>
          <w:rFonts w:ascii="Arial" w:hAnsi="Arial" w:eastAsia="Arial"/>
          <w:b/>
          <w:i w:val="0"/>
          <w:sz w:val="24"/>
        </w:rPr>
        <w:t>1 Introdução</w:t>
      </w:r>
    </w:p>
    <w:p>
      <w:pPr>
        <w:pStyle w:val="Ttulo2"/>
        <w:spacing w:before="120" w:after="120" w:line="360" w:lineRule="auto"/>
        <w:jc w:val="left"/>
      </w:pPr>
      <w:r>
        <w:rPr>
          <w:rFonts w:ascii="Arial" w:hAnsi="Arial" w:eastAsia="Arial"/>
          <w:b/>
          <w:i w:val="0"/>
          <w:sz w:val="24"/>
        </w:rPr>
        <w:t>1.1 Contextualização</w:t>
      </w:r>
    </w:p>
    <w:p>
      <w:pPr>
        <w:spacing w:before="0" w:after="120" w:line="360" w:lineRule="auto"/>
        <w:ind w:firstLine="709"/>
        <w:jc w:val="both"/>
      </w:pPr>
      <w:r>
        <w:rPr>
          <w:rFonts w:ascii="Arial" w:hAnsi="Arial" w:eastAsia="Arial"/>
          <w:b w:val="0"/>
          <w:i w:val="0"/>
          <w:sz w:val="24"/>
        </w:rPr>
        <w:t>O acompanhamento das condições ambientais de uma sala de aula pode exigir mais do que observações isoladas. Quando temperatura do ar, umidade relativa e iluminância são registradas de forma contínua, torna-se possível organizar uma série temporal das condições medidas, identificar ocorrências que mereçam análise e preservar informações técnicas sobre o funcionamento do próprio sistema de coleta. Uma campanha em escala distrital mostrou que séries contínuas podem revelar variações entre salas e eventos que medidas agregadas não representam integralmente, embora seus resultados permaneçam dependentes do contexto observado (Botana Martinez et al., 2025).</w:t>
      </w:r>
    </w:p>
    <w:p>
      <w:pPr>
        <w:spacing w:before="0" w:after="120" w:line="360" w:lineRule="auto"/>
        <w:ind w:firstLine="709"/>
        <w:jc w:val="both"/>
      </w:pPr>
      <w:r>
        <w:rPr>
          <w:rFonts w:ascii="Arial" w:hAnsi="Arial" w:eastAsia="Arial"/>
          <w:b w:val="0"/>
          <w:i w:val="0"/>
          <w:sz w:val="24"/>
        </w:rPr>
        <w:t>No contexto deste trabalho, o monitoramento ambiental é tratado como um problema de aquisição, transmissão, armazenamento e visualização de dados. A proposta utiliza um nó IoT de baixo custo para obter as três variáveis selecionadas, transmitir as medições por rede Wi-Fi a uma aplicação e disponibilizá-las em histórico, indicadores e relatórios. A solução não se limita à leitura dos sensores: a rastreabilidade do instante da medição, da configuração aplicada, do estado de comunicação e de eventuais falhas é necessária para que os dados possam ser avaliados tecnicamente.</w:t>
      </w:r>
    </w:p>
    <w:p>
      <w:pPr>
        <w:spacing w:before="0" w:after="120" w:line="360" w:lineRule="auto"/>
        <w:ind w:firstLine="709"/>
        <w:jc w:val="both"/>
      </w:pPr>
      <w:r>
        <w:rPr>
          <w:rFonts w:ascii="Arial" w:hAnsi="Arial" w:eastAsia="Arial"/>
          <w:b w:val="0"/>
          <w:i w:val="0"/>
          <w:sz w:val="24"/>
        </w:rPr>
        <w:t>Temperatura do ar, umidade relativa e iluminância constituem o núcleo medido. Essas grandezas não esgotam a caracterização ambiental de uma sala nem permitem, isoladamente, concluir sobre conforto percebido, qualidade ambiental, aprendizagem ou desempenho acadêmico. Assim, tais aspectos não são tratados como resultados demonstráveis neste estudo. O interesse está em desenvolver e avaliar tecnicamente uma cadeia IoT que organize medições ambientais para apoiar a identificação de condições que possam demandar investigação posterior.</w:t>
      </w:r>
    </w:p>
    <w:p>
      <w:pPr>
        <w:pStyle w:val="Ttulo2"/>
        <w:spacing w:before="120" w:after="120" w:line="360" w:lineRule="auto"/>
        <w:jc w:val="left"/>
      </w:pPr>
      <w:r>
        <w:rPr>
          <w:rFonts w:ascii="Arial" w:hAnsi="Arial" w:eastAsia="Arial"/>
          <w:b/>
          <w:i w:val="0"/>
          <w:sz w:val="24"/>
        </w:rPr>
        <w:t>1.2 Problema de pesquisa</w:t>
      </w:r>
    </w:p>
    <w:p>
      <w:pPr>
        <w:spacing w:before="0" w:after="120" w:line="360" w:lineRule="auto"/>
        <w:ind w:firstLine="709"/>
        <w:jc w:val="both"/>
      </w:pPr>
      <w:r>
        <w:rPr>
          <w:rFonts w:ascii="Arial" w:hAnsi="Arial" w:eastAsia="Arial"/>
          <w:b w:val="0"/>
          <w:i w:val="0"/>
          <w:sz w:val="24"/>
        </w:rPr>
        <w:t>Salas de aula podem apresentar variações de temperatura do ar, umidade relativa e iluminância ao longo do período de utilização. Quando o acompanhamento depende de observações pontuais, não há necessariamente um histórico organizado que permita examinar o comportamento dessas condições ou distinguir uma ocorrência ambiental de uma falha de aquisição, comunicação ou armazenamento.</w:t>
      </w:r>
    </w:p>
    <w:p>
      <w:pPr>
        <w:spacing w:before="0" w:after="120" w:line="360" w:lineRule="auto"/>
        <w:ind w:firstLine="709"/>
        <w:jc w:val="both"/>
      </w:pPr>
      <w:r>
        <w:rPr>
          <w:rFonts w:ascii="Arial" w:hAnsi="Arial" w:eastAsia="Arial"/>
          <w:b w:val="0"/>
          <w:i w:val="0"/>
          <w:sz w:val="24"/>
        </w:rPr>
        <w:t>O problema investigado concentra-se, portanto, no desenvolvimento de uma solução de baixo custo capaz de coletar, identificar temporalmente, transmitir, armazenar e apresentar dados ambientais de modo rastreável. Não se pressupõe que a solução melhore a aprendizagem, o conforto percebido ou a qualidade do ambiente, pois tais efeitos exigiriam desenho de pesquisa e evidências próprios.</w:t>
      </w:r>
    </w:p>
    <w:p>
      <w:pPr>
        <w:spacing w:before="0" w:after="120" w:line="360" w:lineRule="auto"/>
        <w:ind w:firstLine="709"/>
        <w:jc w:val="both"/>
      </w:pPr>
      <w:r>
        <w:rPr>
          <w:rFonts w:ascii="Arial" w:hAnsi="Arial" w:eastAsia="Arial"/>
          <w:b w:val="0"/>
          <w:i w:val="0"/>
          <w:sz w:val="24"/>
        </w:rPr>
        <w:t xml:space="preserve">Dessa forma, estabelece-se a seguinte pergunta de pesquisa: </w:t>
      </w:r>
      <w:r>
        <w:rPr>
          <w:rFonts w:ascii="Arial" w:hAnsi="Arial" w:eastAsia="Arial"/>
          <w:b/>
          <w:i w:val="0"/>
          <w:sz w:val="24"/>
        </w:rPr>
        <w:t>em que medida um sistema IoT de baixo custo, desenvolvido para o monitoramento ambiental de uma sala de aula, atende aos requisitos técnicos de aquisição, transmissão, armazenamento e visualização dos dados?</w:t>
      </w:r>
    </w:p>
    <w:p>
      <w:pPr>
        <w:pStyle w:val="Ttulo2"/>
        <w:spacing w:before="120" w:after="120" w:line="360" w:lineRule="auto"/>
        <w:jc w:val="left"/>
      </w:pPr>
      <w:r>
        <w:rPr>
          <w:rFonts w:ascii="Arial" w:hAnsi="Arial" w:eastAsia="Arial"/>
          <w:b/>
          <w:i w:val="0"/>
          <w:sz w:val="24"/>
        </w:rPr>
        <w:t>1.3 Objetivo geral</w:t>
      </w:r>
    </w:p>
    <w:p>
      <w:pPr>
        <w:spacing w:before="0" w:after="120" w:line="360" w:lineRule="auto"/>
        <w:ind w:firstLine="709"/>
        <w:jc w:val="both"/>
      </w:pPr>
      <w:r>
        <w:rPr>
          <w:rFonts w:ascii="Arial" w:hAnsi="Arial" w:eastAsia="Arial"/>
          <w:b w:val="0"/>
          <w:i w:val="0"/>
          <w:sz w:val="24"/>
        </w:rPr>
        <w:t>Desenvolver e avaliar tecnicamente um sistema IoT de baixo custo para monitoramento ambiental em uma sala de aula, por meio da avaliação parcial dos sensores e de testes ponta a ponta da aquisição, transmissão, armazenamento e visualização dos dados.</w:t>
      </w:r>
    </w:p>
    <w:p>
      <w:pPr>
        <w:pStyle w:val="Ttulo2"/>
        <w:spacing w:before="120" w:after="120" w:line="360" w:lineRule="auto"/>
        <w:jc w:val="left"/>
      </w:pPr>
      <w:r>
        <w:rPr>
          <w:rFonts w:ascii="Arial" w:hAnsi="Arial" w:eastAsia="Arial"/>
          <w:b/>
          <w:i w:val="0"/>
          <w:sz w:val="24"/>
        </w:rPr>
        <w:t>1.4 Objetivos específicos</w:t>
      </w:r>
    </w:p>
    <w:p>
      <w:pPr>
        <w:spacing w:before="0" w:after="120" w:line="360" w:lineRule="auto"/>
        <w:ind w:firstLine="709"/>
        <w:jc w:val="both"/>
      </w:pPr>
      <w:r>
        <w:rPr>
          <w:rFonts w:ascii="Arial" w:hAnsi="Arial" w:eastAsia="Arial"/>
          <w:b w:val="0"/>
          <w:i w:val="0"/>
          <w:sz w:val="24"/>
        </w:rPr>
        <w:t>Para alcançar o objetivo geral, foram definidos os seguintes objetivos específicos:</w:t>
      </w:r>
    </w:p>
    <w:p>
      <w:pPr>
        <w:spacing w:before="0" w:after="40" w:line="360" w:lineRule="auto"/>
        <w:jc w:val="both"/>
      </w:pPr>
      <w:r>
        <w:rPr>
          <w:rFonts w:ascii="Arial" w:hAnsi="Arial" w:eastAsia="Arial"/>
          <w:b w:val="0"/>
          <w:i w:val="0"/>
          <w:sz w:val="24"/>
        </w:rPr>
        <w:t>1. Revisar a literatura e as referências técnicas relacionadas ao monitoramento ambiental, à Internet das Coisas e ao uso de sensores de baixo custo em salas de aula.</w:t>
      </w:r>
    </w:p>
    <w:p>
      <w:pPr>
        <w:spacing w:before="0" w:after="40" w:line="360" w:lineRule="auto"/>
        <w:jc w:val="both"/>
      </w:pPr>
      <w:r>
        <w:rPr>
          <w:rFonts w:ascii="Arial" w:hAnsi="Arial" w:eastAsia="Arial"/>
          <w:b w:val="0"/>
          <w:i w:val="0"/>
          <w:sz w:val="24"/>
        </w:rPr>
        <w:t>2. Definir os requisitos funcionais e técnicos do sistema, incluindo as métricas e os critérios de aceitação para sua avaliação.</w:t>
      </w:r>
    </w:p>
    <w:p>
      <w:pPr>
        <w:spacing w:before="0" w:after="40" w:line="360" w:lineRule="auto"/>
        <w:jc w:val="both"/>
      </w:pPr>
      <w:r>
        <w:rPr>
          <w:rFonts w:ascii="Arial" w:hAnsi="Arial" w:eastAsia="Arial"/>
          <w:b w:val="0"/>
          <w:i w:val="0"/>
          <w:sz w:val="24"/>
        </w:rPr>
        <w:t>3. Projetar e montar um nó IoT de baixo custo com os sensores ambientais selecionados e conectividade Wi-Fi.</w:t>
      </w:r>
    </w:p>
    <w:p>
      <w:pPr>
        <w:spacing w:before="0" w:after="40" w:line="360" w:lineRule="auto"/>
        <w:jc w:val="both"/>
      </w:pPr>
      <w:r>
        <w:rPr>
          <w:rFonts w:ascii="Arial" w:hAnsi="Arial" w:eastAsia="Arial"/>
          <w:b w:val="0"/>
          <w:i w:val="0"/>
          <w:sz w:val="24"/>
        </w:rPr>
        <w:t>4. Desenvolver o firmware responsável pela aquisição, identificação temporal e transmissão periódica das medições, incluindo o tratamento de falhas de leitura e comunicação.</w:t>
      </w:r>
    </w:p>
    <w:p>
      <w:pPr>
        <w:spacing w:before="0" w:after="40" w:line="360" w:lineRule="auto"/>
        <w:jc w:val="both"/>
      </w:pPr>
      <w:r>
        <w:rPr>
          <w:rFonts w:ascii="Arial" w:hAnsi="Arial" w:eastAsia="Arial"/>
          <w:b w:val="0"/>
          <w:i w:val="0"/>
          <w:sz w:val="24"/>
        </w:rPr>
        <w:t>5. Implementar uma API e um banco de dados MySQL para validar, receber, armazenar e consultar os dados ambientais.</w:t>
      </w:r>
    </w:p>
    <w:p>
      <w:pPr>
        <w:spacing w:before="0" w:after="40" w:line="360" w:lineRule="auto"/>
        <w:jc w:val="both"/>
      </w:pPr>
      <w:r>
        <w:rPr>
          <w:rFonts w:ascii="Arial" w:hAnsi="Arial" w:eastAsia="Arial"/>
          <w:b w:val="0"/>
          <w:i w:val="0"/>
          <w:sz w:val="24"/>
        </w:rPr>
        <w:t>6. Desenvolver uma aplicação web com visualização, histórico, indicadores, relatórios e alertas tecnicamente fundamentados, organizando os dados para subsidiar a identificação de condições que possam demandar investigação pela gestão escolar.</w:t>
      </w:r>
    </w:p>
    <w:p>
      <w:pPr>
        <w:spacing w:before="0" w:after="40" w:line="360" w:lineRule="auto"/>
        <w:jc w:val="both"/>
      </w:pPr>
      <w:r>
        <w:rPr>
          <w:rFonts w:ascii="Arial" w:hAnsi="Arial" w:eastAsia="Arial"/>
          <w:b w:val="0"/>
          <w:i w:val="0"/>
          <w:sz w:val="24"/>
        </w:rPr>
        <w:t>7. Avaliar funcionalmente o comportamento dos sensores, registrando procedimentos, leituras válidas, continuidade da aquisição e limitações da avaliação, sem alegar exatidão metrológica sem instrumento de referência adequado.</w:t>
      </w:r>
    </w:p>
    <w:p>
      <w:pPr>
        <w:spacing w:before="0" w:after="40" w:line="360" w:lineRule="auto"/>
        <w:jc w:val="both"/>
      </w:pPr>
      <w:r>
        <w:rPr>
          <w:rFonts w:ascii="Arial" w:hAnsi="Arial" w:eastAsia="Arial"/>
          <w:b w:val="0"/>
          <w:i w:val="0"/>
          <w:sz w:val="24"/>
        </w:rPr>
        <w:t>8. Avaliar o funcionamento ponta a ponta do sistema por meio de métricas de completude ou perda de dados, latência, disponibilidade e consistência entre as medições, a API, o banco de dados e a aplicação web.</w:t>
      </w:r>
    </w:p>
    <w:p>
      <w:pPr>
        <w:spacing w:before="0" w:after="40" w:line="360" w:lineRule="auto"/>
        <w:jc w:val="both"/>
      </w:pPr>
      <w:r>
        <w:rPr>
          <w:rFonts w:ascii="Arial" w:hAnsi="Arial" w:eastAsia="Arial"/>
          <w:b w:val="0"/>
          <w:i w:val="0"/>
          <w:sz w:val="24"/>
        </w:rPr>
        <w:t>9. Analisar o custo, as limitações técnicas, a reprodutibilidade e as possibilidades de expansão da solução.</w:t>
      </w:r>
    </w:p>
    <w:p>
      <w:pPr>
        <w:pStyle w:val="Ttulo2"/>
        <w:spacing w:before="120" w:after="120" w:line="360" w:lineRule="auto"/>
        <w:jc w:val="left"/>
      </w:pPr>
      <w:r>
        <w:rPr>
          <w:rFonts w:ascii="Arial" w:hAnsi="Arial" w:eastAsia="Arial"/>
          <w:b/>
          <w:i w:val="0"/>
          <w:sz w:val="24"/>
        </w:rPr>
        <w:t>1.5 Justificativa</w:t>
      </w:r>
    </w:p>
    <w:p>
      <w:pPr>
        <w:spacing w:before="0" w:after="120" w:line="360" w:lineRule="auto"/>
        <w:ind w:firstLine="709"/>
        <w:jc w:val="both"/>
      </w:pPr>
      <w:r>
        <w:rPr>
          <w:rFonts w:ascii="Arial" w:hAnsi="Arial" w:eastAsia="Arial"/>
          <w:b w:val="0"/>
          <w:i w:val="0"/>
          <w:sz w:val="24"/>
        </w:rPr>
        <w:t>O trabalho se justifica pela integração, em um protótipo de baixo custo, de hardware, firmware, comunicação HTTP/JSON, API, banco de dados e aplicação web. Estudos anteriores demonstram a viabilidade de integrar sensores ambientais em arquiteturas conectadas para salas de aula e, ao mesmo tempo, a necessidade de comparar o comportamento de sensores instalados com referências adequadas (Hernández; Cañas, 2024; Rus et al., 2025). No presente estudo, essa integração permite avaliar não apenas se uma leitura é produzida, mas também se ela é identificada, transmitida, persistida, consultada e apresentada de forma consistente, inclusive diante de falhas de comunicação e reenvios.</w:t>
      </w:r>
    </w:p>
    <w:p>
      <w:pPr>
        <w:spacing w:before="0" w:after="120" w:line="360" w:lineRule="auto"/>
        <w:ind w:firstLine="709"/>
        <w:jc w:val="both"/>
      </w:pPr>
      <w:r>
        <w:rPr>
          <w:rFonts w:ascii="Arial" w:hAnsi="Arial" w:eastAsia="Arial"/>
          <w:b w:val="0"/>
          <w:i w:val="0"/>
          <w:sz w:val="24"/>
        </w:rPr>
        <w:t>O sistema é projetado para organizar medições em visualizações, históricos, indicadores, relatórios e ocorrências informativas baseadas em faixas locais versionadas. Esses recursos podem subsidiar a identificação de situações recorrentes que mereçam investigação pela gestão escolar, ao disponibilizar registros rastreáveis em vez de depender exclusivamente de observações pontuais. Essa é uma finalidade projetada da solução, e não uma demonstração de uso, utilidade ou impacto gerencial.</w:t>
      </w:r>
    </w:p>
    <w:p>
      <w:pPr>
        <w:spacing w:before="0" w:after="120" w:line="360" w:lineRule="auto"/>
        <w:ind w:firstLine="709"/>
        <w:jc w:val="both"/>
      </w:pPr>
      <w:r>
        <w:rPr>
          <w:rFonts w:ascii="Arial" w:hAnsi="Arial" w:eastAsia="Arial"/>
          <w:b w:val="0"/>
          <w:i w:val="0"/>
          <w:sz w:val="24"/>
        </w:rPr>
        <w:t>Além da aplicação potencial, a proposta oferece um caso de estudo para documentar requisitos, decisões de projeto, critérios de aceitação, tratamento de dados ausentes e limitações de sensores de baixo custo. Como não houve instrumento de referência adequado na coleta real, a avaliação dos sensores é apresentada como evidência funcional e descritiva, sem atribuição de precisão metrológica ao sistema.</w:t>
      </w:r>
    </w:p>
    <w:p>
      <w:pPr>
        <w:pStyle w:val="Ttulo2"/>
        <w:spacing w:before="120" w:after="120" w:line="360" w:lineRule="auto"/>
        <w:jc w:val="left"/>
      </w:pPr>
      <w:r>
        <w:rPr>
          <w:rFonts w:ascii="Arial" w:hAnsi="Arial" w:eastAsia="Arial"/>
          <w:b/>
          <w:i w:val="0"/>
          <w:sz w:val="24"/>
        </w:rPr>
        <w:t>1.6 Delimitação</w:t>
      </w:r>
    </w:p>
    <w:p>
      <w:pPr>
        <w:spacing w:before="0" w:after="120" w:line="360" w:lineRule="auto"/>
        <w:ind w:firstLine="709"/>
        <w:jc w:val="both"/>
      </w:pPr>
      <w:r>
        <w:rPr>
          <w:rFonts w:ascii="Arial" w:hAnsi="Arial" w:eastAsia="Arial"/>
          <w:b w:val="0"/>
          <w:i w:val="0"/>
          <w:sz w:val="24"/>
        </w:rPr>
        <w:t>O estudo está delimitado ao desenvolvimento e à avaliação técnica de um sistema para monitorar temperatura do ar, umidade relativa e iluminância. As evidências físicas prévias foram obtidas em sala de aula da UNIP em Araçatuba; as três sessões formais finais foram realizadas no local de trabalho de um dos autores exclusivamente para avaliar estabilidade operacional. Foram avaliados o nó IoT, a aquisição, a transmissão, o armazenamento, a consulta e a visualização das medições, além do comportamento funcional dos sensores.</w:t>
      </w:r>
    </w:p>
    <w:p>
      <w:pPr>
        <w:spacing w:before="0" w:after="120" w:line="360" w:lineRule="auto"/>
        <w:ind w:firstLine="709"/>
        <w:jc w:val="both"/>
      </w:pPr>
      <w:r>
        <w:rPr>
          <w:rFonts w:ascii="Arial" w:hAnsi="Arial" w:eastAsia="Arial"/>
          <w:b w:val="0"/>
          <w:i w:val="0"/>
          <w:sz w:val="24"/>
        </w:rPr>
        <w:t>Não fazem parte do núcleo avaliado o monitoramento de ruído, dióxido de carbono, material particulado, qualidade química do ar, ocupação, gravação de áudio ou imagem e controle automático de climatização ou iluminação. Também não serão avaliados aprendizagem, desempenho acadêmico, conforto percebido, qualidade ambiental global, utilidade com gestores ou efeitos de intervenções na infraestrutura.</w:t>
      </w:r>
    </w:p>
    <w:p>
      <w:pPr>
        <w:spacing w:before="0" w:after="120" w:line="360" w:lineRule="auto"/>
        <w:ind w:firstLine="709"/>
        <w:jc w:val="both"/>
      </w:pPr>
      <w:r>
        <w:rPr>
          <w:rFonts w:ascii="Arial" w:hAnsi="Arial" w:eastAsia="Arial"/>
          <w:b w:val="0"/>
          <w:i w:val="0"/>
          <w:sz w:val="24"/>
        </w:rPr>
        <w:t>Os indicadores e as ocorrências por faixa local indicam apenas condições medidas que possam demandar investigação. Eles não constituem diagnóstico de causas, prescrição de intervenções, classificação definitiva da sala ou substituição de avaliação técnica especializada. Nenhuma faixa local é apresentada como parâmetro normativo, de conforto ou de conformidade.</w:t>
      </w:r>
    </w:p>
    <w:p>
      <w:pPr>
        <w:pStyle w:val="Ttulo2"/>
        <w:spacing w:before="120" w:after="120" w:line="360" w:lineRule="auto"/>
        <w:jc w:val="left"/>
      </w:pPr>
      <w:r>
        <w:rPr>
          <w:rFonts w:ascii="Arial" w:hAnsi="Arial" w:eastAsia="Arial"/>
          <w:b/>
          <w:i w:val="0"/>
          <w:sz w:val="24"/>
        </w:rPr>
        <w:t>1.7 Estrutura do trabalho</w:t>
      </w:r>
    </w:p>
    <w:p>
      <w:pPr>
        <w:spacing w:before="0" w:after="120" w:line="360" w:lineRule="auto"/>
        <w:ind w:firstLine="709"/>
        <w:jc w:val="both"/>
      </w:pPr>
      <w:r>
        <w:rPr>
          <w:rFonts w:ascii="Arial" w:hAnsi="Arial" w:eastAsia="Arial"/>
          <w:b w:val="0"/>
          <w:i w:val="0"/>
          <w:sz w:val="24"/>
        </w:rPr>
        <w:t>Este trabalho está organizado em seis capítulos. O primeiro apresenta a contextualização, o problema de pesquisa, os objetivos, a justificativa e a delimitação do estudo. O segundo reúne a fundamentação teórica e os trabalhos relacionados ao monitoramento ambiental, à IoT e aos sensores de baixo custo. O terceiro descreve o método, o protocolo experimental, os requisitos e os critérios de avaliação. O quarto documenta o desenvolvimento do nó IoT, da API, do banco de dados e da aplicação web. O quinto apresenta os testes, os resultados observados e a discussão das limitações. Por fim, o sexto sintetiza as conclusões, as contribuições demonstradas e as possibilidades de trabalhos futuros.</w:t>
      </w:r>
    </w:p>
    <w:p>
      <w:r>
        <w:br w:type="page"/>
      </w:r>
    </w:p>
    <w:p>
      <w:pPr>
        <w:pStyle w:val="Ttulo1"/>
        <w:spacing w:before="240" w:after="120" w:line="360" w:lineRule="auto"/>
        <w:jc w:val="left"/>
      </w:pPr>
      <w:r>
        <w:rPr>
          <w:rFonts w:ascii="Arial" w:hAnsi="Arial" w:eastAsia="Arial"/>
          <w:b/>
          <w:i w:val="0"/>
          <w:sz w:val="24"/>
        </w:rPr>
        <w:t>2 Fundamentação teórica e trabalhos relacionados</w:t>
      </w:r>
    </w:p>
    <w:p>
      <w:pPr>
        <w:spacing w:before="0" w:after="120" w:line="360" w:lineRule="auto"/>
        <w:ind w:firstLine="709"/>
        <w:jc w:val="both"/>
      </w:pPr>
      <w:r>
        <w:rPr>
          <w:rFonts w:ascii="Arial" w:hAnsi="Arial" w:eastAsia="Arial"/>
          <w:b w:val="0"/>
          <w:i w:val="0"/>
          <w:sz w:val="24"/>
        </w:rPr>
        <w:t>Este capítulo apresenta os conceitos e as evidências que orientam o escopo técnico do sistema. A discussão distingue as grandezas efetivamente medidas das interpretações que exigiriam outras variáveis, instrumentos ou procedimentos. Também separa especificações nominais dos componentes da avaliação que será realizada no protótipo.</w:t>
      </w:r>
    </w:p>
    <w:p>
      <w:pPr>
        <w:pStyle w:val="Ttulo2"/>
        <w:spacing w:before="120" w:after="120" w:line="360" w:lineRule="auto"/>
        <w:jc w:val="left"/>
      </w:pPr>
      <w:r>
        <w:rPr>
          <w:rFonts w:ascii="Arial" w:hAnsi="Arial" w:eastAsia="Arial"/>
          <w:b/>
          <w:i w:val="0"/>
          <w:sz w:val="24"/>
        </w:rPr>
        <w:t>2.1 Monitoramento ambiental em salas de aula</w:t>
      </w:r>
    </w:p>
    <w:p>
      <w:pPr>
        <w:spacing w:before="0" w:after="120" w:line="360" w:lineRule="auto"/>
        <w:ind w:firstLine="709"/>
        <w:jc w:val="both"/>
      </w:pPr>
      <w:r>
        <w:rPr>
          <w:rFonts w:ascii="Arial" w:hAnsi="Arial" w:eastAsia="Arial"/>
          <w:b w:val="0"/>
          <w:i w:val="0"/>
          <w:sz w:val="24"/>
        </w:rPr>
        <w:t>O monitoramento ambiental em uma sala de aula consiste em obter, identificar temporalmente e organizar dados sobre grandezas físicas observadas em um ponto e período definidos. Para que esses dados sejam interpretáveis, devem permanecer associados ao local de instalação, à configuração de aquisição, ao instante da leitura e aos eventos que possam afetar a medição ou a comunicação.</w:t>
      </w:r>
    </w:p>
    <w:p>
      <w:pPr>
        <w:spacing w:before="0" w:after="120" w:line="360" w:lineRule="auto"/>
        <w:ind w:firstLine="709"/>
        <w:jc w:val="both"/>
      </w:pPr>
      <w:r>
        <w:rPr>
          <w:rFonts w:ascii="Arial" w:hAnsi="Arial" w:eastAsia="Arial"/>
          <w:b w:val="0"/>
          <w:i w:val="0"/>
          <w:sz w:val="24"/>
        </w:rPr>
        <w:t>Hernández e Cañas (2024) apresentam um dispositivo IoT destinado à medição de variáveis ambientais em salas de aula universitárias, incluindo temperatura do ar, umidade relativa e iluminância. Esse trabalho evidencia a viabilidade de integrar sensores ambientais a uma arquitetura conectada; contudo, seu conjunto de variáveis, sua rede de comunicação e seus objetivos não são transferidos automaticamente para o presente estudo.</w:t>
      </w:r>
    </w:p>
    <w:p>
      <w:pPr>
        <w:spacing w:before="0" w:after="120" w:line="360" w:lineRule="auto"/>
        <w:ind w:firstLine="709"/>
        <w:jc w:val="both"/>
      </w:pPr>
      <w:r>
        <w:rPr>
          <w:rFonts w:ascii="Arial" w:hAnsi="Arial" w:eastAsia="Arial"/>
          <w:b w:val="0"/>
          <w:i w:val="0"/>
          <w:sz w:val="24"/>
        </w:rPr>
        <w:t>Em outra escala, Botana Martinez et al. (2025) analisaram dados contínuos de temperatura e umidade relativa provenientes de 3.666 salas de aula. O estudo mostra que séries temporais podem revelar diferenças entre salas de um mesmo edifício e ocorrências que medidas de tendência central isoladas não representam adequadamente. Esse resultado reforça a utilidade de preservar o histórico e o contexto temporal, mas não autoriza generalizar os valores daquela campanha para a sala avaliada neste TCC.</w:t>
      </w:r>
    </w:p>
    <w:p>
      <w:pPr>
        <w:spacing w:before="0" w:after="120" w:line="360" w:lineRule="auto"/>
        <w:ind w:firstLine="709"/>
        <w:jc w:val="both"/>
      </w:pPr>
      <w:r>
        <w:rPr>
          <w:rFonts w:ascii="Arial" w:hAnsi="Arial" w:eastAsia="Arial"/>
          <w:b w:val="0"/>
          <w:i w:val="0"/>
          <w:sz w:val="24"/>
        </w:rPr>
        <w:t>Neste TCC, o monitoramento está delimitado a temperatura do ar, umidade relativa e iluminância em uma única sala, como estudo de caso. As três grandezas permitem registrar condições físicas selecionadas, mas não caracterizam sozinhas a qualidade ambiental global da sala. Em particular, não serão inferidos conforto percebido, aprendizagem, desempenho acadêmico ou efeitos de intervenções prediais.</w:t>
      </w:r>
    </w:p>
    <w:p>
      <w:pPr>
        <w:pStyle w:val="Ttulo2"/>
        <w:spacing w:before="120" w:after="120" w:line="360" w:lineRule="auto"/>
        <w:jc w:val="left"/>
      </w:pPr>
      <w:r>
        <w:rPr>
          <w:rFonts w:ascii="Arial" w:hAnsi="Arial" w:eastAsia="Arial"/>
          <w:b/>
          <w:i w:val="0"/>
          <w:sz w:val="24"/>
        </w:rPr>
        <w:t>2.2 Temperatura do ar, umidade relativa e limites de interpretação</w:t>
      </w:r>
    </w:p>
    <w:p>
      <w:pPr>
        <w:spacing w:before="0" w:after="120" w:line="360" w:lineRule="auto"/>
        <w:ind w:firstLine="709"/>
        <w:jc w:val="both"/>
      </w:pPr>
      <w:r>
        <w:rPr>
          <w:rFonts w:ascii="Arial" w:hAnsi="Arial" w:eastAsia="Arial"/>
          <w:b w:val="0"/>
          <w:i w:val="0"/>
          <w:sz w:val="24"/>
        </w:rPr>
        <w:t>A ABNT NBR 16401-2:2008, informada pela UNIP como referência para as salas e conferida no documento original, trata do conforto térmico em recintos providos de ar-condicionado. Seus parâmetros dependem da temperatura operativa, da velocidade do ar, da umidade relativa e de condições dos ocupantes, como vestimenta e atividade. O protótipo deste TCC mede temperatura do ar e umidade relativa, mas não mede temperatura operativa, temperatura radiante média ou velocidade do ar; por isso, seus registros não permitem declarar conformidade da sala com a norma nem inferir conforto percebido (ASSOCIAÇÃO BRASILEIRA DE NORMAS TÉCNICAS, 2008).</w:t>
      </w:r>
    </w:p>
    <w:p>
      <w:pPr>
        <w:spacing w:before="0" w:after="120" w:line="360" w:lineRule="auto"/>
        <w:ind w:firstLine="709"/>
        <w:jc w:val="both"/>
      </w:pPr>
      <w:r>
        <w:rPr>
          <w:rFonts w:ascii="Arial" w:hAnsi="Arial" w:eastAsia="Arial"/>
          <w:b w:val="0"/>
          <w:i w:val="0"/>
          <w:sz w:val="24"/>
        </w:rPr>
        <w:t>A mesma norma não define requisitos de iluminância. Assim, a iluminância continuará registrada como variável ambiental independente, sem classificação normativa. O software poderá registrar ocorrências com base em faixas locais estabelecidas e versionadas pela administração, sem atribuir a elas caráter de alerta automático normativo.</w:t>
      </w:r>
    </w:p>
    <w:p>
      <w:pPr>
        <w:spacing w:before="0" w:after="120" w:line="360" w:lineRule="auto"/>
        <w:ind w:firstLine="709"/>
        <w:jc w:val="both"/>
      </w:pPr>
      <w:r>
        <w:rPr>
          <w:rFonts w:ascii="Arial" w:hAnsi="Arial" w:eastAsia="Arial"/>
          <w:b w:val="0"/>
          <w:i w:val="0"/>
          <w:sz w:val="24"/>
        </w:rPr>
        <w:t>Temperatura do ar e umidade relativa são grandezas físicas distintas. A primeira descreve o estado térmico do ar no ponto de leitura; a segunda expressa a relação entre a quantidade de vapor de água presente e a quantidade máxima que o ar poderia conter na mesma temperatura. Em sistemas digitais, ambas podem ser adquiridas pelo mesmo componente, desde que sua interface, alimentação, endereço de comunicação e condições de instalação sejam documentados.</w:t>
      </w:r>
    </w:p>
    <w:p>
      <w:pPr>
        <w:spacing w:before="0" w:after="120" w:line="360" w:lineRule="auto"/>
        <w:ind w:firstLine="709"/>
        <w:jc w:val="both"/>
      </w:pPr>
      <w:r>
        <w:rPr>
          <w:rFonts w:ascii="Arial" w:hAnsi="Arial" w:eastAsia="Arial"/>
          <w:b w:val="0"/>
          <w:i w:val="0"/>
          <w:sz w:val="24"/>
        </w:rPr>
        <w:t>O SHT3x-DIS, família à qual pertence o SHT31 selecionado para o protótipo, fornece saída digital para temperatura e umidade relativa, possui interface I2C e disponibiliza endereços selecionáveis pelo usuário (Sensirion AG, 2022). Essas características justificam sua adequação de integração ao nó IoT, mas não comprovam o desempenho da unidade comercial recebida, da montagem realizada ou da posição escolhida na sala.</w:t>
      </w:r>
    </w:p>
    <w:p>
      <w:pPr>
        <w:spacing w:before="0" w:after="120" w:line="360" w:lineRule="auto"/>
        <w:ind w:firstLine="709"/>
        <w:jc w:val="both"/>
      </w:pPr>
      <w:r>
        <w:rPr>
          <w:rFonts w:ascii="Arial" w:hAnsi="Arial" w:eastAsia="Arial"/>
          <w:b w:val="0"/>
          <w:i w:val="0"/>
          <w:sz w:val="24"/>
        </w:rPr>
        <w:t>Temperatura e umidade relativa não devem ser usadas, isoladamente, como sinônimos de conforto térmico. A avaliação de conforto percebido pode depender de outras condições físicas e de informações sobre os ocupantes, que não integram o desenho desta pesquisa. Portanto, os dados coletados serão apresentados como medições das duas grandezas selecionadas, e qualquer comparação com instrumento de referência será descrita como avaliação parcial do sensor, com métricas e limitações explicitadas.</w:t>
      </w:r>
    </w:p>
    <w:p>
      <w:pPr>
        <w:pStyle w:val="Ttulo2"/>
        <w:spacing w:before="120" w:after="120" w:line="360" w:lineRule="auto"/>
        <w:jc w:val="left"/>
      </w:pPr>
      <w:r>
        <w:rPr>
          <w:rFonts w:ascii="Arial" w:hAnsi="Arial" w:eastAsia="Arial"/>
          <w:b/>
          <w:i w:val="0"/>
          <w:sz w:val="24"/>
        </w:rPr>
        <w:t>2.3 Iluminância e condições visuais</w:t>
      </w:r>
    </w:p>
    <w:p>
      <w:pPr>
        <w:spacing w:before="0" w:after="120" w:line="360" w:lineRule="auto"/>
        <w:ind w:firstLine="709"/>
        <w:jc w:val="both"/>
      </w:pPr>
      <w:r>
        <w:rPr>
          <w:rFonts w:ascii="Arial" w:hAnsi="Arial" w:eastAsia="Arial"/>
          <w:b w:val="0"/>
          <w:i w:val="0"/>
          <w:sz w:val="24"/>
        </w:rPr>
        <w:t>Iluminância é a grandeza expressa em lux utilizada para descrever a luz incidente em determinado ponto e plano de medição. Uma leitura pontual, por sua natureza, representa as condições no local, na altura e na orientação em que o sensor foi instalado; ela não demonstra, por si só, a uniformidade da iluminação de toda a sala ou a experiência visual dos ocupantes.</w:t>
      </w:r>
    </w:p>
    <w:p>
      <w:pPr>
        <w:spacing w:before="0" w:after="120" w:line="360" w:lineRule="auto"/>
        <w:ind w:firstLine="709"/>
        <w:jc w:val="both"/>
      </w:pPr>
      <w:r>
        <w:rPr>
          <w:rFonts w:ascii="Arial" w:hAnsi="Arial" w:eastAsia="Arial"/>
          <w:b w:val="0"/>
          <w:i w:val="0"/>
          <w:sz w:val="24"/>
        </w:rPr>
        <w:t>O VEML7700 é um sensor digital de luz ambiente com interface I2C, faixa de medição ajustável e tempos de integração configuráveis (Vishay Semiconductors, 2024). No presente trabalho, esses recursos serão empregados para adquirir iluminância e registrar as condições de operação do nó. A posição, a altura, a orientação e eventuais obstruções do sensor deverão ser registradas antes da coleta, pois constituem parte do contexto necessário à interpretação dos valores.</w:t>
      </w:r>
    </w:p>
    <w:p>
      <w:pPr>
        <w:spacing w:before="0" w:after="120" w:line="360" w:lineRule="auto"/>
        <w:ind w:firstLine="709"/>
        <w:jc w:val="both"/>
      </w:pPr>
      <w:r>
        <w:rPr>
          <w:rFonts w:ascii="Arial" w:hAnsi="Arial" w:eastAsia="Arial"/>
          <w:b w:val="0"/>
          <w:i w:val="0"/>
          <w:sz w:val="24"/>
        </w:rPr>
        <w:t>Guillán Lorenzo et al. (2022) compararam o VEML7700 e outros sensores comerciais de baixo custo com um instrumento profissional em uma plataforma IoT de medição de iluminância solar. Embora o ambiente externo e a finalidade do estudo sejam diferentes dos deste TCC, o trabalho oferece evidência de que o desempenho do componente deve ser analisado por comparação e sob condições de operação explicitadas, em vez de ser inferido apenas do datasheet.</w:t>
      </w:r>
    </w:p>
    <w:p>
      <w:pPr>
        <w:spacing w:before="0" w:after="120" w:line="360" w:lineRule="auto"/>
        <w:ind w:firstLine="709"/>
        <w:jc w:val="both"/>
      </w:pPr>
      <w:r>
        <w:rPr>
          <w:rFonts w:ascii="Arial" w:hAnsi="Arial" w:eastAsia="Arial"/>
          <w:b w:val="0"/>
          <w:i w:val="0"/>
          <w:sz w:val="24"/>
        </w:rPr>
        <w:t>O sistema não utilizará, nesta etapa, uma única leitura de iluminância para declarar que a sala é adequada ou inadequada. A definição de parâmetros para alertas depende da conferência das fontes técnicas originais aplicáveis e será tratada separadamente no desenvolvimento e no protocolo experimental.</w:t>
      </w:r>
    </w:p>
    <w:p>
      <w:pPr>
        <w:pStyle w:val="Ttulo2"/>
        <w:spacing w:before="120" w:after="120" w:line="360" w:lineRule="auto"/>
        <w:jc w:val="left"/>
      </w:pPr>
      <w:r>
        <w:rPr>
          <w:rFonts w:ascii="Arial" w:hAnsi="Arial" w:eastAsia="Arial"/>
          <w:b/>
          <w:i w:val="0"/>
          <w:sz w:val="24"/>
        </w:rPr>
        <w:t>2.4 Internet das Coisas e monitoramento ambiental</w:t>
      </w:r>
    </w:p>
    <w:p>
      <w:pPr>
        <w:spacing w:before="0" w:after="120" w:line="360" w:lineRule="auto"/>
        <w:ind w:firstLine="709"/>
        <w:jc w:val="both"/>
      </w:pPr>
      <w:r>
        <w:rPr>
          <w:rFonts w:ascii="Arial" w:hAnsi="Arial" w:eastAsia="Arial"/>
          <w:b w:val="0"/>
          <w:i w:val="0"/>
          <w:sz w:val="24"/>
        </w:rPr>
        <w:t>Neste trabalho, Internet das Coisas é empregada para designar a integração entre um dispositivo com capacidade de sensoriamento, conectividade de rede e processamento local, e serviços que recebem, armazenam e apresentam seus dados. A conexão entre o mundo físico e a aplicação depende tanto da leitura dos sensores quanto da identificação do dispositivo, da configuração, da comunicação e da capacidade de informar seu estado operacional.</w:t>
      </w:r>
    </w:p>
    <w:p>
      <w:pPr>
        <w:spacing w:before="0" w:after="120" w:line="360" w:lineRule="auto"/>
        <w:ind w:firstLine="709"/>
        <w:jc w:val="both"/>
      </w:pPr>
      <w:r>
        <w:rPr>
          <w:rFonts w:ascii="Arial" w:hAnsi="Arial" w:eastAsia="Arial"/>
          <w:b w:val="0"/>
          <w:i w:val="0"/>
          <w:sz w:val="24"/>
        </w:rPr>
        <w:t>O NIST descreve dispositivos IoT como equipamentos que combinam capacidades físicas ou de sensoriamento com interfaces de rede e propõe capacidades básicas de cibersegurança para protegê-los e proteger os dados relacionados (Fagan et al., 2020). Para o escopo deste protótipo, essa referência não é usada como certificação de segurança. Ela fundamenta a importância de identificar o nó, restringir o acesso lógico, controlar configurações, proteger dados e expor o estado operacional como aspectos de projeto a serem considerados.</w:t>
      </w:r>
    </w:p>
    <w:p>
      <w:pPr>
        <w:spacing w:before="0" w:after="120" w:line="360" w:lineRule="auto"/>
        <w:ind w:firstLine="709"/>
        <w:jc w:val="both"/>
      </w:pPr>
      <w:r>
        <w:rPr>
          <w:rFonts w:ascii="Arial" w:hAnsi="Arial" w:eastAsia="Arial"/>
          <w:b w:val="0"/>
          <w:i w:val="0"/>
          <w:sz w:val="24"/>
        </w:rPr>
        <w:t>A arquitetura adotada conecta sensores a um microcontrolador com Wi-Fi; este envia mensagens HTTP/JSON para a API integrada à aplicação; a API persiste as medições no MySQL; e a aplicação apresenta dashboard, histórico e relatórios. Essa escolha será detalhada no capítulo de desenvolvimento. Na fundamentação, importa ressaltar que o valor analítico de uma medição depende de sua rastreabilidade ao longo dessa cadeia, e não apenas da existência de um valor numérico no painel.</w:t>
      </w:r>
    </w:p>
    <w:p>
      <w:pPr>
        <w:pStyle w:val="Ttulo2"/>
        <w:spacing w:before="120" w:after="120" w:line="360" w:lineRule="auto"/>
        <w:jc w:val="left"/>
      </w:pPr>
      <w:r>
        <w:rPr>
          <w:rFonts w:ascii="Arial" w:hAnsi="Arial" w:eastAsia="Arial"/>
          <w:b/>
          <w:i w:val="0"/>
          <w:sz w:val="24"/>
        </w:rPr>
        <w:t>2.5 Sensores de baixo custo, comparação e qualidade dos dados</w:t>
      </w:r>
    </w:p>
    <w:p>
      <w:pPr>
        <w:spacing w:before="0" w:after="120" w:line="360" w:lineRule="auto"/>
        <w:ind w:firstLine="709"/>
        <w:jc w:val="both"/>
      </w:pPr>
      <w:r>
        <w:rPr>
          <w:rFonts w:ascii="Arial" w:hAnsi="Arial" w:eastAsia="Arial"/>
          <w:b w:val="0"/>
          <w:i w:val="0"/>
          <w:sz w:val="24"/>
        </w:rPr>
        <w:t>Especificações de fabricante descrevem o desempenho declarado de um componente em condições e procedimentos próprios. Elas são necessárias para conhecer faixas de operação, interfaces e recursos do sensor, mas não substituem a avaliação da unidade adquirida no circuito, na instalação e no ambiente de uso do protótipo.</w:t>
      </w:r>
    </w:p>
    <w:p>
      <w:pPr>
        <w:spacing w:before="0" w:after="120" w:line="360" w:lineRule="auto"/>
        <w:ind w:firstLine="709"/>
        <w:jc w:val="both"/>
      </w:pPr>
      <w:r>
        <w:rPr>
          <w:rFonts w:ascii="Arial" w:hAnsi="Arial" w:eastAsia="Arial"/>
          <w:b w:val="0"/>
          <w:i w:val="0"/>
          <w:sz w:val="24"/>
        </w:rPr>
        <w:t>O procedimento de calibração e de comparação com referência deve deixar explícitos o instrumento utilizado, as condições de medição e a forma de estimar diferenças entre valores observados e de referência. O NIST/SEMATECH ressalta que resultados de calibração devem ser analisados no contexto da relação entre o instrumento sob avaliação e padrões ou referências adequados (NIST/SEMATECH, s.d.). No projeto, essa orientação sustenta a decisão de condicionar qualquer classificação comparativa à disponibilidade de instrumento de referência identificado e com desempenho documentado.</w:t>
      </w:r>
    </w:p>
    <w:p>
      <w:pPr>
        <w:spacing w:before="0" w:after="120" w:line="360" w:lineRule="auto"/>
        <w:ind w:firstLine="709"/>
        <w:jc w:val="both"/>
      </w:pPr>
      <w:r>
        <w:rPr>
          <w:rFonts w:ascii="Arial" w:hAnsi="Arial" w:eastAsia="Arial"/>
          <w:b w:val="0"/>
          <w:i w:val="0"/>
          <w:sz w:val="24"/>
        </w:rPr>
        <w:t>Quando houver referência adequada, serão calculados viés, erro absoluto médio, raiz do erro quadrático médio e percentil 95 do erro absoluto; para iluminância em faixas aplicáveis, também será calculado o erro percentual absoluto médio. Sem referência adequada, o estudo manterá a avaliação funcional — taxa de leituras válidas, faixas físicas e registro de falhas — sem atribuir precisão metrológica ao sistema.</w:t>
      </w:r>
    </w:p>
    <w:p>
      <w:pPr>
        <w:spacing w:before="0" w:after="120" w:line="360" w:lineRule="auto"/>
        <w:ind w:firstLine="709"/>
        <w:jc w:val="both"/>
      </w:pPr>
      <w:r>
        <w:rPr>
          <w:rFonts w:ascii="Arial" w:hAnsi="Arial" w:eastAsia="Arial"/>
          <w:b w:val="0"/>
          <w:i w:val="0"/>
          <w:sz w:val="24"/>
        </w:rPr>
        <w:t>Em duas salas universitárias, Rus et al. (2025) compararam sensores integrados a uma automação predial com um instrumento profissional e observaram correlações elevadas acompanhadas de deslocamentos sistemáticos entre as leituras. O caso evidencia que consistência temporal e associação entre séries não eliminam a necessidade de examinar viés, posição de instalação e qualidade da referência. Sua arquitetura baseada em KNX e seu conjunto de variáveis diferem dos adotados neste TCC, de modo que os resultados não são transferidos ao protótipo.</w:t>
      </w:r>
    </w:p>
    <w:p>
      <w:pPr>
        <w:spacing w:before="0" w:after="120" w:line="360" w:lineRule="auto"/>
        <w:ind w:firstLine="709"/>
        <w:jc w:val="both"/>
      </w:pPr>
      <w:r>
        <w:rPr>
          <w:rFonts w:ascii="Arial" w:hAnsi="Arial" w:eastAsia="Arial"/>
          <w:b w:val="0"/>
          <w:i w:val="0"/>
          <w:sz w:val="24"/>
        </w:rPr>
        <w:t>A qualidade dos dados também inclui a preservação de falhas, duplicidades, lacunas e estados de sincronização. Valores ausentes ou inválidos não serão substituídos por interpolação na análise principal. Essa regra permite que a avaliação técnica diferencie uma série ambiental observada de uma série artificialmente preenchida e preserva evidências sobre o funcionamento da cadeia.</w:t>
      </w:r>
    </w:p>
    <w:p>
      <w:pPr>
        <w:pStyle w:val="Ttulo2"/>
        <w:spacing w:before="120" w:after="120" w:line="360" w:lineRule="auto"/>
        <w:jc w:val="left"/>
      </w:pPr>
      <w:r>
        <w:rPr>
          <w:rFonts w:ascii="Arial" w:hAnsi="Arial" w:eastAsia="Arial"/>
          <w:b/>
          <w:i w:val="0"/>
          <w:sz w:val="24"/>
        </w:rPr>
        <w:t>2.6 Aquisição, comunicação, armazenamento e rastreabilidade</w:t>
      </w:r>
    </w:p>
    <w:p>
      <w:pPr>
        <w:spacing w:before="0" w:after="120" w:line="360" w:lineRule="auto"/>
        <w:ind w:firstLine="709"/>
        <w:jc w:val="both"/>
      </w:pPr>
      <w:r>
        <w:rPr>
          <w:rFonts w:ascii="Arial" w:hAnsi="Arial" w:eastAsia="Arial"/>
          <w:b w:val="0"/>
          <w:i w:val="0"/>
          <w:sz w:val="24"/>
        </w:rPr>
        <w:t>Uma cadeia de monitoramento ambiental inicia na aquisição, mas só se torna auditável quando conserva a identidade da medição e seu contexto até a consulta posterior. Por isso, cada registro do sistema possui identificador único, identificação do dispositivo, identificação da inicialização, número de sequência, versão de configuração, instante da leitura e estado de sincronização temporal.</w:t>
      </w:r>
    </w:p>
    <w:p>
      <w:pPr>
        <w:spacing w:before="0" w:after="120" w:line="360" w:lineRule="auto"/>
        <w:ind w:firstLine="709"/>
        <w:jc w:val="both"/>
      </w:pPr>
      <w:r>
        <w:rPr>
          <w:rFonts w:ascii="Arial" w:hAnsi="Arial" w:eastAsia="Arial"/>
          <w:b w:val="0"/>
          <w:i w:val="0"/>
          <w:sz w:val="24"/>
        </w:rPr>
        <w:t>O uso de mensagens HTTP/JSON permite transportar a leitura e seus metadados por uma interface explícita. No entanto, a confirmação de uma requisição não elimina a necessidade de tratamento de falhas de rede. O projeto adota fila local persistente para medições ainda não confirmadas, reenvio em ordem e remoção somente após a API informar armazenamento ou existência prévia do mesmo identificador. Dessa forma, a idempotência é tratada como requisito de integridade da cadeia e não como mera conveniência de implementação.</w:t>
      </w:r>
    </w:p>
    <w:p>
      <w:pPr>
        <w:spacing w:before="0" w:after="120" w:line="360" w:lineRule="auto"/>
        <w:ind w:firstLine="709"/>
        <w:jc w:val="both"/>
      </w:pPr>
      <w:r>
        <w:rPr>
          <w:rFonts w:ascii="Arial" w:hAnsi="Arial" w:eastAsia="Arial"/>
          <w:b w:val="0"/>
          <w:i w:val="0"/>
          <w:sz w:val="24"/>
        </w:rPr>
        <w:t>O armazenamento relacional mantém a medição canônica e registra tentativas de entrega separadamente. Esse desenho permite distinguir reenvio legítimo de conflito de integridade e oferece base para verificar completude, perdas, duplicidade, latência, disponibilidade e consistência. Os limites quantitativos usados nos testes são metas internas previamente definidas pelo projeto; não são valores extraídos de normas ambientais.</w:t>
      </w:r>
    </w:p>
    <w:p>
      <w:pPr>
        <w:pStyle w:val="Ttulo2"/>
        <w:spacing w:before="120" w:after="120" w:line="360" w:lineRule="auto"/>
        <w:jc w:val="left"/>
      </w:pPr>
      <w:r>
        <w:rPr>
          <w:rFonts w:ascii="Arial" w:hAnsi="Arial" w:eastAsia="Arial"/>
          <w:b/>
          <w:i w:val="0"/>
          <w:sz w:val="24"/>
        </w:rPr>
        <w:t>2.7 Dashboards, relatórios e alertas</w:t>
      </w:r>
    </w:p>
    <w:p>
      <w:pPr>
        <w:spacing w:before="0" w:after="120" w:line="360" w:lineRule="auto"/>
        <w:ind w:firstLine="709"/>
        <w:jc w:val="both"/>
      </w:pPr>
      <w:r>
        <w:rPr>
          <w:rFonts w:ascii="Arial" w:hAnsi="Arial" w:eastAsia="Arial"/>
          <w:b w:val="0"/>
          <w:i w:val="0"/>
          <w:sz w:val="24"/>
        </w:rPr>
        <w:t>Dashboards e relatórios cumprem, neste estudo, a função de tornar consultáveis as medições e os estados técnicos do sistema. Os valores mais recentes, as séries temporais, as lacunas, a configuração aplicada, a ocupação da fila e as perdas comunicadas pelo nó são apresentados sem substituir leituras inválidas por valores estimados.</w:t>
      </w:r>
    </w:p>
    <w:p>
      <w:pPr>
        <w:spacing w:before="0" w:after="120" w:line="360" w:lineRule="auto"/>
        <w:ind w:firstLine="709"/>
        <w:jc w:val="both"/>
      </w:pPr>
      <w:r>
        <w:rPr>
          <w:rFonts w:ascii="Arial" w:hAnsi="Arial" w:eastAsia="Arial"/>
          <w:b w:val="0"/>
          <w:i w:val="0"/>
          <w:sz w:val="24"/>
        </w:rPr>
        <w:t>Um alerta ambiental, para ser tecnicamente defensável, deve informar a grandeza medida, a regra aplicada, a duração considerada, a fonte do parâmetro e as limitações de interpretação. Enquanto esses parâmetros não forem verificados nas fontes técnicas originais, o dashboard não classificará as condições ambientais nem emitirá alertas como se fossem recomendações aprovadas. Distintamente, uma ocorrência informativa pode registrar que uma leitura válida e sincronizada ficou fora de uma faixa local, desde que preserve a versão, os limites e a justificativa da regra aplicada.</w:t>
      </w:r>
    </w:p>
    <w:p>
      <w:pPr>
        <w:spacing w:before="0" w:after="120" w:line="360" w:lineRule="auto"/>
        <w:ind w:firstLine="709"/>
        <w:jc w:val="both"/>
      </w:pPr>
      <w:r>
        <w:rPr>
          <w:rFonts w:ascii="Arial" w:hAnsi="Arial" w:eastAsia="Arial"/>
          <w:b w:val="0"/>
          <w:i w:val="0"/>
          <w:sz w:val="24"/>
        </w:rPr>
        <w:t>Assim, a aplicação organiza informações que podem subsidiar investigação pela gestão escolar, mas não diagnostica as causas de uma condição ambiental nem prescreve intervenções de infraestrutura. A utilidade efetiva das informações para usuários administrativos não será avaliada neste trabalho.</w:t>
      </w:r>
    </w:p>
    <w:p>
      <w:pPr>
        <w:pStyle w:val="Ttulo2"/>
        <w:spacing w:before="120" w:after="120" w:line="360" w:lineRule="auto"/>
        <w:jc w:val="left"/>
      </w:pPr>
      <w:r>
        <w:rPr>
          <w:rFonts w:ascii="Arial" w:hAnsi="Arial" w:eastAsia="Arial"/>
          <w:b/>
          <w:i w:val="0"/>
          <w:sz w:val="24"/>
        </w:rPr>
        <w:t>2.8 Trabalhos relacionados e posição do estudo</w:t>
      </w:r>
    </w:p>
    <w:p>
      <w:pPr>
        <w:spacing w:before="0" w:after="120" w:line="360" w:lineRule="auto"/>
        <w:ind w:firstLine="709"/>
        <w:jc w:val="both"/>
      </w:pPr>
      <w:r>
        <w:rPr>
          <w:rFonts w:ascii="Arial" w:hAnsi="Arial" w:eastAsia="Arial"/>
          <w:b w:val="0"/>
          <w:i w:val="0"/>
          <w:sz w:val="24"/>
        </w:rPr>
        <w:t>Os trabalhos selecionados se aproximam deste TCC por aspectos diferentes, conforme sintetiza o Quadro 1.</w:t>
      </w:r>
    </w:p>
    <w:p>
      <w:pPr>
        <w:spacing w:before="120" w:after="40" w:line="240" w:lineRule="auto"/>
        <w:jc w:val="left"/>
      </w:pPr>
      <w:r>
        <w:rPr>
          <w:rFonts w:ascii="Arial" w:hAnsi="Arial" w:eastAsia="Arial"/>
          <w:b/>
          <w:i w:val="0"/>
          <w:sz w:val="20"/>
        </w:rPr>
        <w:t>Quadro 1 — Síntese dos trabalhos relacionados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c>
          <w:tcPr>
            <w:tcW w:type="dxa" w:w="2268"/>
          </w:tcPr>
          <w:p>
            <w:pPr>
              <w:spacing w:before="0" w:after="0" w:line="240" w:lineRule="auto"/>
              <w:jc w:val="center"/>
            </w:pPr>
            <w:r>
              <w:rPr>
                <w:rFonts w:ascii="Arial" w:hAnsi="Arial" w:eastAsia="Arial"/>
                <w:b/>
                <w:i w:val="0"/>
                <w:sz w:val="18"/>
              </w:rPr>
              <w:t>Trabalho</w:t>
            </w:r>
          </w:p>
        </w:tc>
        <w:tc>
          <w:tcPr>
            <w:tcW w:type="dxa" w:w="2268"/>
          </w:tcPr>
          <w:p>
            <w:pPr>
              <w:spacing w:before="0" w:after="0" w:line="240" w:lineRule="auto"/>
              <w:jc w:val="center"/>
            </w:pPr>
            <w:r>
              <w:rPr>
                <w:rFonts w:ascii="Arial" w:hAnsi="Arial" w:eastAsia="Arial"/>
                <w:b/>
                <w:i w:val="0"/>
                <w:sz w:val="18"/>
              </w:rPr>
              <w:t>Escopo e método</w:t>
            </w:r>
          </w:p>
        </w:tc>
        <w:tc>
          <w:tcPr>
            <w:tcW w:type="dxa" w:w="2268"/>
          </w:tcPr>
          <w:p>
            <w:pPr>
              <w:spacing w:before="0" w:after="0" w:line="240" w:lineRule="auto"/>
              <w:jc w:val="center"/>
            </w:pPr>
            <w:r>
              <w:rPr>
                <w:rFonts w:ascii="Arial" w:hAnsi="Arial" w:eastAsia="Arial"/>
                <w:b/>
                <w:i w:val="0"/>
                <w:sz w:val="18"/>
              </w:rPr>
              <w:t>Relação com este TCC</w:t>
            </w:r>
          </w:p>
        </w:tc>
        <w:tc>
          <w:tcPr>
            <w:tcW w:type="dxa" w:w="2268"/>
          </w:tcPr>
          <w:p>
            <w:pPr>
              <w:spacing w:before="0" w:after="0" w:line="240" w:lineRule="auto"/>
              <w:jc w:val="center"/>
            </w:pPr>
            <w:r>
              <w:rPr>
                <w:rFonts w:ascii="Arial" w:hAnsi="Arial" w:eastAsia="Arial"/>
                <w:b/>
                <w:i w:val="0"/>
                <w:sz w:val="18"/>
              </w:rPr>
              <w:t>Diferença relevante</w:t>
            </w:r>
          </w:p>
        </w:tc>
      </w:tr>
      <w:tr>
        <w:tc>
          <w:tcPr>
            <w:tcW w:type="dxa" w:w="2268"/>
          </w:tcPr>
          <w:p>
            <w:pPr>
              <w:spacing w:before="0" w:after="0" w:line="240" w:lineRule="auto"/>
              <w:jc w:val="left"/>
            </w:pPr>
            <w:r>
              <w:rPr>
                <w:rFonts w:ascii="Arial" w:hAnsi="Arial" w:eastAsia="Arial"/>
                <w:b w:val="0"/>
                <w:i w:val="0"/>
                <w:sz w:val="18"/>
              </w:rPr>
              <w:t>Hernández e Cañas (2024)</w:t>
            </w:r>
          </w:p>
        </w:tc>
        <w:tc>
          <w:tcPr>
            <w:tcW w:type="dxa" w:w="2268"/>
          </w:tcPr>
          <w:p>
            <w:pPr>
              <w:spacing w:before="0" w:after="0" w:line="240" w:lineRule="auto"/>
              <w:jc w:val="left"/>
            </w:pPr>
            <w:r>
              <w:rPr>
                <w:rFonts w:ascii="Arial" w:hAnsi="Arial" w:eastAsia="Arial"/>
                <w:b w:val="0"/>
                <w:i w:val="0"/>
                <w:sz w:val="18"/>
              </w:rPr>
              <w:t>Dispositivo IoT para temperatura, umidade relativa, iluminância, dióxido de carbono e ruído em salas universitárias</w:t>
            </w:r>
          </w:p>
        </w:tc>
        <w:tc>
          <w:tcPr>
            <w:tcW w:type="dxa" w:w="2268"/>
          </w:tcPr>
          <w:p>
            <w:pPr>
              <w:spacing w:before="0" w:after="0" w:line="240" w:lineRule="auto"/>
              <w:jc w:val="left"/>
            </w:pPr>
            <w:r>
              <w:rPr>
                <w:rFonts w:ascii="Arial" w:hAnsi="Arial" w:eastAsia="Arial"/>
                <w:b w:val="0"/>
                <w:i w:val="0"/>
                <w:sz w:val="18"/>
              </w:rPr>
              <w:t>Integração de sensores ambientais e comunicação em rede</w:t>
            </w:r>
          </w:p>
        </w:tc>
        <w:tc>
          <w:tcPr>
            <w:tcW w:type="dxa" w:w="2268"/>
          </w:tcPr>
          <w:p>
            <w:pPr>
              <w:spacing w:before="0" w:after="0" w:line="240" w:lineRule="auto"/>
              <w:jc w:val="left"/>
            </w:pPr>
            <w:r>
              <w:rPr>
                <w:rFonts w:ascii="Arial" w:hAnsi="Arial" w:eastAsia="Arial"/>
                <w:b w:val="0"/>
                <w:i w:val="0"/>
                <w:sz w:val="18"/>
              </w:rPr>
              <w:t>Maior número de variáveis e outra organização de rede</w:t>
            </w:r>
          </w:p>
        </w:tc>
      </w:tr>
      <w:tr>
        <w:tc>
          <w:tcPr>
            <w:tcW w:type="dxa" w:w="2268"/>
          </w:tcPr>
          <w:p>
            <w:pPr>
              <w:spacing w:before="0" w:after="0" w:line="240" w:lineRule="auto"/>
              <w:jc w:val="left"/>
            </w:pPr>
            <w:r>
              <w:rPr>
                <w:rFonts w:ascii="Arial" w:hAnsi="Arial" w:eastAsia="Arial"/>
                <w:b w:val="0"/>
                <w:i w:val="0"/>
                <w:sz w:val="18"/>
              </w:rPr>
              <w:t>Botana Martinez et al. (2025)</w:t>
            </w:r>
          </w:p>
        </w:tc>
        <w:tc>
          <w:tcPr>
            <w:tcW w:type="dxa" w:w="2268"/>
          </w:tcPr>
          <w:p>
            <w:pPr>
              <w:spacing w:before="0" w:after="0" w:line="240" w:lineRule="auto"/>
              <w:jc w:val="left"/>
            </w:pPr>
            <w:r>
              <w:rPr>
                <w:rFonts w:ascii="Arial" w:hAnsi="Arial" w:eastAsia="Arial"/>
                <w:b w:val="0"/>
                <w:i w:val="0"/>
                <w:sz w:val="18"/>
              </w:rPr>
              <w:t>Monitoramento contínuo de temperatura e umidade relativa em 3.666 salas</w:t>
            </w:r>
          </w:p>
        </w:tc>
        <w:tc>
          <w:tcPr>
            <w:tcW w:type="dxa" w:w="2268"/>
          </w:tcPr>
          <w:p>
            <w:pPr>
              <w:spacing w:before="0" w:after="0" w:line="240" w:lineRule="auto"/>
              <w:jc w:val="left"/>
            </w:pPr>
            <w:r>
              <w:rPr>
                <w:rFonts w:ascii="Arial" w:hAnsi="Arial" w:eastAsia="Arial"/>
                <w:b w:val="0"/>
                <w:i w:val="0"/>
                <w:sz w:val="18"/>
              </w:rPr>
              <w:t>Uso de séries temporais e contextualização das medições</w:t>
            </w:r>
          </w:p>
        </w:tc>
        <w:tc>
          <w:tcPr>
            <w:tcW w:type="dxa" w:w="2268"/>
          </w:tcPr>
          <w:p>
            <w:pPr>
              <w:spacing w:before="0" w:after="0" w:line="240" w:lineRule="auto"/>
              <w:jc w:val="left"/>
            </w:pPr>
            <w:r>
              <w:rPr>
                <w:rFonts w:ascii="Arial" w:hAnsi="Arial" w:eastAsia="Arial"/>
                <w:b w:val="0"/>
                <w:i w:val="0"/>
                <w:sz w:val="18"/>
              </w:rPr>
              <w:t>Escala distrital, sensores comerciais e foco em exposição ao calor</w:t>
            </w:r>
          </w:p>
        </w:tc>
      </w:tr>
      <w:tr>
        <w:tc>
          <w:tcPr>
            <w:tcW w:type="dxa" w:w="2268"/>
          </w:tcPr>
          <w:p>
            <w:pPr>
              <w:spacing w:before="0" w:after="0" w:line="240" w:lineRule="auto"/>
              <w:jc w:val="left"/>
            </w:pPr>
            <w:r>
              <w:rPr>
                <w:rFonts w:ascii="Arial" w:hAnsi="Arial" w:eastAsia="Arial"/>
                <w:b w:val="0"/>
                <w:i w:val="0"/>
                <w:sz w:val="18"/>
              </w:rPr>
              <w:t>Rus et al. (2025)</w:t>
            </w:r>
          </w:p>
        </w:tc>
        <w:tc>
          <w:tcPr>
            <w:tcW w:type="dxa" w:w="2268"/>
          </w:tcPr>
          <w:p>
            <w:pPr>
              <w:spacing w:before="0" w:after="0" w:line="240" w:lineRule="auto"/>
              <w:jc w:val="left"/>
            </w:pPr>
            <w:r>
              <w:rPr>
                <w:rFonts w:ascii="Arial" w:hAnsi="Arial" w:eastAsia="Arial"/>
                <w:b w:val="0"/>
                <w:i w:val="0"/>
                <w:sz w:val="18"/>
              </w:rPr>
              <w:t>Comparação entre sensores KNX instalados e instrumento profissional em duas salas universitárias</w:t>
            </w:r>
          </w:p>
        </w:tc>
        <w:tc>
          <w:tcPr>
            <w:tcW w:type="dxa" w:w="2268"/>
          </w:tcPr>
          <w:p>
            <w:pPr>
              <w:spacing w:before="0" w:after="0" w:line="240" w:lineRule="auto"/>
              <w:jc w:val="left"/>
            </w:pPr>
            <w:r>
              <w:rPr>
                <w:rFonts w:ascii="Arial" w:hAnsi="Arial" w:eastAsia="Arial"/>
                <w:b w:val="0"/>
                <w:i w:val="0"/>
                <w:sz w:val="18"/>
              </w:rPr>
              <w:t>Necessidade de comparação, análise de viés e registro da instalação</w:t>
            </w:r>
          </w:p>
        </w:tc>
        <w:tc>
          <w:tcPr>
            <w:tcW w:type="dxa" w:w="2268"/>
          </w:tcPr>
          <w:p>
            <w:pPr>
              <w:spacing w:before="0" w:after="0" w:line="240" w:lineRule="auto"/>
              <w:jc w:val="left"/>
            </w:pPr>
            <w:r>
              <w:rPr>
                <w:rFonts w:ascii="Arial" w:hAnsi="Arial" w:eastAsia="Arial"/>
                <w:b w:val="0"/>
                <w:i w:val="0"/>
                <w:sz w:val="18"/>
              </w:rPr>
              <w:t>Automação predial KNX, conjunto de variáveis e método misto distintos</w:t>
            </w:r>
          </w:p>
        </w:tc>
      </w:tr>
      <w:tr>
        <w:tc>
          <w:tcPr>
            <w:tcW w:type="dxa" w:w="2268"/>
          </w:tcPr>
          <w:p>
            <w:pPr>
              <w:spacing w:before="0" w:after="0" w:line="240" w:lineRule="auto"/>
              <w:jc w:val="left"/>
            </w:pPr>
            <w:r>
              <w:rPr>
                <w:rFonts w:ascii="Arial" w:hAnsi="Arial" w:eastAsia="Arial"/>
                <w:b w:val="0"/>
                <w:i w:val="0"/>
                <w:sz w:val="18"/>
              </w:rPr>
              <w:t>Guillán Lorenzo et al. (2022)</w:t>
            </w:r>
          </w:p>
        </w:tc>
        <w:tc>
          <w:tcPr>
            <w:tcW w:type="dxa" w:w="2268"/>
          </w:tcPr>
          <w:p>
            <w:pPr>
              <w:spacing w:before="0" w:after="0" w:line="240" w:lineRule="auto"/>
              <w:jc w:val="left"/>
            </w:pPr>
            <w:r>
              <w:rPr>
                <w:rFonts w:ascii="Arial" w:hAnsi="Arial" w:eastAsia="Arial"/>
                <w:b w:val="0"/>
                <w:i w:val="0"/>
                <w:sz w:val="18"/>
              </w:rPr>
              <w:t>Comparação de sensores de iluminância de baixo custo, incluindo VEML7700, com instrumento profissional</w:t>
            </w:r>
          </w:p>
        </w:tc>
        <w:tc>
          <w:tcPr>
            <w:tcW w:type="dxa" w:w="2268"/>
          </w:tcPr>
          <w:p>
            <w:pPr>
              <w:spacing w:before="0" w:after="0" w:line="240" w:lineRule="auto"/>
              <w:jc w:val="left"/>
            </w:pPr>
            <w:r>
              <w:rPr>
                <w:rFonts w:ascii="Arial" w:hAnsi="Arial" w:eastAsia="Arial"/>
                <w:b w:val="0"/>
                <w:i w:val="0"/>
                <w:sz w:val="18"/>
              </w:rPr>
              <w:t>Evidência para a avaliação comparativa do sensor selecionado</w:t>
            </w:r>
          </w:p>
        </w:tc>
        <w:tc>
          <w:tcPr>
            <w:tcW w:type="dxa" w:w="2268"/>
          </w:tcPr>
          <w:p>
            <w:pPr>
              <w:spacing w:before="0" w:after="0" w:line="240" w:lineRule="auto"/>
              <w:jc w:val="left"/>
            </w:pPr>
            <w:r>
              <w:rPr>
                <w:rFonts w:ascii="Arial" w:hAnsi="Arial" w:eastAsia="Arial"/>
                <w:b w:val="0"/>
                <w:i w:val="0"/>
                <w:sz w:val="18"/>
              </w:rPr>
              <w:t>Medição solar em ambiente externo, não iluminação de sala de aula</w:t>
            </w:r>
          </w:p>
        </w:tc>
      </w:tr>
    </w:tbl>
    <w:p/>
    <w:p>
      <w:pPr>
        <w:spacing w:before="0" w:after="120" w:line="240" w:lineRule="auto"/>
        <w:jc w:val="left"/>
      </w:pPr>
      <w:r>
        <w:rPr>
          <w:rFonts w:ascii="Arial" w:hAnsi="Arial" w:eastAsia="Arial"/>
          <w:b w:val="0"/>
          <w:i w:val="0"/>
          <w:sz w:val="20"/>
        </w:rPr>
        <w:t>Fonte: elaborado pelos autores (2026).</w:t>
      </w:r>
    </w:p>
    <w:p>
      <w:pPr>
        <w:spacing w:before="0" w:after="120" w:line="360" w:lineRule="auto"/>
        <w:ind w:firstLine="709"/>
        <w:jc w:val="both"/>
      </w:pPr>
      <w:r>
        <w:rPr>
          <w:rFonts w:ascii="Arial" w:hAnsi="Arial" w:eastAsia="Arial"/>
          <w:b w:val="0"/>
          <w:i w:val="0"/>
          <w:sz w:val="24"/>
        </w:rPr>
        <w:t>Em contraste com esses trabalhos, o presente estudo restringe o núcleo a três variáveis e prioriza a avaliação técnica ponta a ponta: aquisição, identificação temporal, transmissão HTTP/JSON, persistência idempotente, visualização, relatórios, estado operacional e recuperação após indisponibilidade de comunicação. Ruído e dióxido de carbono não são variáveis avaliadas, pois exigiriam seleção de sensores, protocolos e interpretações adicionais.</w:t>
      </w:r>
    </w:p>
    <w:p>
      <w:pPr>
        <w:spacing w:before="0" w:after="120" w:line="360" w:lineRule="auto"/>
        <w:ind w:firstLine="709"/>
        <w:jc w:val="both"/>
      </w:pPr>
      <w:r>
        <w:rPr>
          <w:rFonts w:ascii="Arial" w:hAnsi="Arial" w:eastAsia="Arial"/>
          <w:b w:val="0"/>
          <w:i w:val="0"/>
          <w:sz w:val="24"/>
        </w:rPr>
        <w:t>A lacuna abordada não consiste em demonstrar melhoria ambiental ou educacional. O estudo busca documentar, em um caso de baixo custo, em que medida uma cadeia IoT conserva medições e metadados de forma tecnicamente verificável, distinguindo a avaliação parcial dos sensores da avaliação da infraestrutura de dados. A comparação apresentada também evidencia que resultados obtidos em outras escalas, arquiteturas ou ambientes não substituem a validação do protótipo nas condições delimitadas para esta pesquisa.</w:t>
      </w:r>
    </w:p>
    <w:p>
      <w:r>
        <w:br w:type="page"/>
      </w:r>
    </w:p>
    <w:p>
      <w:pPr>
        <w:pStyle w:val="Ttulo1"/>
        <w:spacing w:before="240" w:after="120" w:line="360" w:lineRule="auto"/>
        <w:jc w:val="left"/>
      </w:pPr>
      <w:r>
        <w:rPr>
          <w:rFonts w:ascii="Arial" w:hAnsi="Arial" w:eastAsia="Arial"/>
          <w:b/>
          <w:i w:val="0"/>
          <w:sz w:val="24"/>
        </w:rPr>
        <w:t>3 Metodologia e projeto do sistema</w:t>
      </w:r>
    </w:p>
    <w:p>
      <w:pPr>
        <w:spacing w:before="0" w:after="120" w:line="360" w:lineRule="auto"/>
        <w:ind w:firstLine="709"/>
        <w:jc w:val="both"/>
      </w:pPr>
      <w:r>
        <w:rPr>
          <w:rFonts w:ascii="Arial" w:hAnsi="Arial" w:eastAsia="Arial"/>
          <w:b w:val="0"/>
          <w:i w:val="0"/>
          <w:sz w:val="24"/>
        </w:rPr>
        <w:t>Este capítulo apresenta o método utilizado para desenvolver e avaliar tecnicamente o sistema proposto. As decisões metodológicas foram estabelecidas antes da coleta principal para distinguir implementação, evidência de teste e afirmações condicionadas aos dados reais.</w:t>
      </w:r>
    </w:p>
    <w:p>
      <w:pPr>
        <w:pStyle w:val="Ttulo2"/>
        <w:spacing w:before="120" w:after="120" w:line="360" w:lineRule="auto"/>
        <w:jc w:val="left"/>
      </w:pPr>
      <w:r>
        <w:rPr>
          <w:rFonts w:ascii="Arial" w:hAnsi="Arial" w:eastAsia="Arial"/>
          <w:b/>
          <w:i w:val="0"/>
          <w:sz w:val="24"/>
        </w:rPr>
        <w:t>3.1 Caracterização da pesquisa</w:t>
      </w:r>
    </w:p>
    <w:p>
      <w:pPr>
        <w:spacing w:before="0" w:after="120" w:line="360" w:lineRule="auto"/>
        <w:ind w:firstLine="709"/>
        <w:jc w:val="both"/>
      </w:pPr>
      <w:r>
        <w:rPr>
          <w:rFonts w:ascii="Arial" w:hAnsi="Arial" w:eastAsia="Arial"/>
          <w:b w:val="0"/>
          <w:i w:val="0"/>
          <w:sz w:val="24"/>
        </w:rPr>
        <w:t>A pesquisa possui caráter aplicado, pois envolve a construção de um artefato de monitoramento ambiental e sua avaliação técnica em condições de uso delimitadas. O artefato é composto por um nó IoT, uma interface de comunicação HTTP/JSON, uma aplicação web integrada à API e uma base de dados relacional. A avaliação será conduzida como estudo de caso em uma única sala de aula, sem a pretensão de generalizar automaticamente os resultados para outras salas, instituições ou períodos do ano.</w:t>
      </w:r>
    </w:p>
    <w:p>
      <w:pPr>
        <w:spacing w:before="0" w:after="120" w:line="360" w:lineRule="auto"/>
        <w:ind w:firstLine="709"/>
        <w:jc w:val="both"/>
      </w:pPr>
      <w:r>
        <w:rPr>
          <w:rFonts w:ascii="Arial" w:hAnsi="Arial" w:eastAsia="Arial"/>
          <w:b w:val="0"/>
          <w:i w:val="0"/>
          <w:sz w:val="24"/>
        </w:rPr>
        <w:t>O foco da pesquisa é verificar se a cadeia técnica preserva as medições desde a aquisição até a visualização: leitura dos sensores, identificação temporal, transmissão, persistência, consulta e apresentação. A comparação com instrumentos de referência, quando for possível, será tratada como avaliação parcial dos sensores. Assim, o funcionamento da infraestrutura de dados não será interpretado como comprovação de exatidão metrológica, e uma eventual comparação de sensores não substituirá os testes de completude, disponibilidade, latência e integridade da cadeia IoT.</w:t>
      </w:r>
    </w:p>
    <w:p>
      <w:pPr>
        <w:pStyle w:val="Ttulo2"/>
        <w:spacing w:before="120" w:after="120" w:line="360" w:lineRule="auto"/>
        <w:jc w:val="left"/>
      </w:pPr>
      <w:r>
        <w:rPr>
          <w:rFonts w:ascii="Arial" w:hAnsi="Arial" w:eastAsia="Arial"/>
          <w:b/>
          <w:i w:val="0"/>
          <w:sz w:val="24"/>
        </w:rPr>
        <w:t>3.2 Questão de pesquisa e escopo experimental</w:t>
      </w:r>
    </w:p>
    <w:p>
      <w:pPr>
        <w:spacing w:before="0" w:after="120" w:line="360" w:lineRule="auto"/>
        <w:ind w:firstLine="709"/>
        <w:jc w:val="both"/>
      </w:pPr>
      <w:r>
        <w:rPr>
          <w:rFonts w:ascii="Arial" w:hAnsi="Arial" w:eastAsia="Arial"/>
          <w:b w:val="0"/>
          <w:i w:val="0"/>
          <w:sz w:val="24"/>
        </w:rPr>
        <w:t>A questão de pesquisa é: “Em que medida um sistema IoT de baixo custo, desenvolvido para o monitoramento ambiental de uma sala de aula, atende aos requisitos técnicos de aquisição, transmissão, armazenamento e visualização dos dados?” Para respondê-la, o estudo medirá temperatura do ar, umidade relativa do ar e iluminância.</w:t>
      </w:r>
    </w:p>
    <w:p>
      <w:pPr>
        <w:spacing w:before="0" w:after="120" w:line="360" w:lineRule="auto"/>
        <w:ind w:firstLine="709"/>
        <w:jc w:val="both"/>
      </w:pPr>
      <w:r>
        <w:rPr>
          <w:rFonts w:ascii="Arial" w:hAnsi="Arial" w:eastAsia="Arial"/>
          <w:b w:val="0"/>
          <w:i w:val="0"/>
          <w:sz w:val="24"/>
        </w:rPr>
        <w:t>O escopo não contempla a medição de ruído, dióxido de carbono, material particulado, identificação de ocupantes, captura de áudio ou imagem, controle automático de equipamentos ou diagnóstico das causas de uma condição ambiental. O estudo também não avaliará aprendizagem, conforto percebido, decisões administrativas ou efeitos de intervenções na infraestrutura. Dashboard, relatórios e futuros alertas serão tratados como recursos informacionais que podem subsidiar investigações posteriores, sem comprovação de utilidade gerencial.</w:t>
      </w:r>
    </w:p>
    <w:p>
      <w:pPr>
        <w:pStyle w:val="Ttulo2"/>
        <w:spacing w:before="120" w:after="120" w:line="360" w:lineRule="auto"/>
        <w:jc w:val="left"/>
      </w:pPr>
      <w:r>
        <w:rPr>
          <w:rFonts w:ascii="Arial" w:hAnsi="Arial" w:eastAsia="Arial"/>
          <w:b/>
          <w:i w:val="0"/>
          <w:sz w:val="24"/>
        </w:rPr>
        <w:t>3.3 Ambiente e período de avaliação</w:t>
      </w:r>
    </w:p>
    <w:p>
      <w:pPr>
        <w:spacing w:before="0" w:after="120" w:line="360" w:lineRule="auto"/>
        <w:ind w:firstLine="709"/>
        <w:jc w:val="both"/>
      </w:pPr>
      <w:r>
        <w:rPr>
          <w:rFonts w:ascii="Arial" w:hAnsi="Arial" w:eastAsia="Arial"/>
          <w:b w:val="0"/>
          <w:i w:val="0"/>
          <w:sz w:val="24"/>
        </w:rPr>
        <w:t>A coleta prévia em sala de aula foi autorizada para o ambiente selecionado. A ABNT NBR 16401-2:2008 será usada apenas como referência institucional para contextualizar a interpretação térmica dos testes em sala. Embora a norma oriente medições de temperatura e velocidade do ar na zona ocupada e preveja medições sucessivas de umidade relativa, o presente sistema não contém os instrumentos necessários para uma avaliação completa de temperatura operativa, velocidade do ar e temperatura radiante. Por isso, essa evidência não será apresentada como ensaio de conformidade com a norma (ASSOCIAÇÃO BRASILEIRA DE NORMAS TÉCNICAS, 2008).</w:t>
      </w:r>
    </w:p>
    <w:p>
      <w:pPr>
        <w:spacing w:before="0" w:after="120" w:line="360" w:lineRule="auto"/>
        <w:ind w:firstLine="709"/>
        <w:jc w:val="both"/>
      </w:pPr>
      <w:r>
        <w:rPr>
          <w:rFonts w:ascii="Arial" w:hAnsi="Arial" w:eastAsia="Arial"/>
          <w:b w:val="0"/>
          <w:i w:val="0"/>
          <w:sz w:val="24"/>
        </w:rPr>
        <w:t>A evidência física prévia foi obtida em uma sala de aula da UNIP em Araçatuba, SP. A identificação da sala, a posição de instalação, a altura dos sensores, a distância em relação a fontes de calor, janelas, luminárias e demais condições locais foram registradas no contexto da coleta-piloto e dos testes anteriores. As três sessões formais finais foram realizadas no local de trabalho de um dos autores, exclusivamente para avaliação da estabilidade operacional. Os respectivos diários registraram o posicionamento disponível, a infraestrutura, a conectividade e os eventos relevantes, sem caracterização ou interpretação das condições ambientais do local.</w:t>
      </w:r>
    </w:p>
    <w:p>
      <w:pPr>
        <w:spacing w:before="0" w:after="120" w:line="360" w:lineRule="auto"/>
        <w:ind w:firstLine="709"/>
        <w:jc w:val="both"/>
      </w:pPr>
      <w:r>
        <w:rPr>
          <w:rFonts w:ascii="Arial" w:hAnsi="Arial" w:eastAsia="Arial"/>
          <w:b w:val="0"/>
          <w:i w:val="0"/>
          <w:sz w:val="24"/>
        </w:rPr>
        <w:t xml:space="preserve">Foi realizada uma coleta-piloto correspondente a um período de aula, cuja finalidade foi verificar montagem, conectividade, registro temporal e geração dos dados. Além dela, os autores realizaram testes físicos em sala de aula, registrados no banco em oito datas. Como os 345 registros correspondentes não possuem </w:t>
      </w:r>
      <w:r>
        <w:rPr>
          <w:rFonts w:ascii="Arial" w:hAnsi="Arial" w:eastAsia="Arial"/>
          <w:b w:val="0"/>
          <w:i w:val="0"/>
          <w:sz w:val="24"/>
        </w:rPr>
        <w:t>run_id</w:t>
      </w:r>
      <w:r>
        <w:rPr>
          <w:rFonts w:ascii="Arial" w:hAnsi="Arial" w:eastAsia="Arial"/>
          <w:b w:val="0"/>
          <w:i w:val="0"/>
          <w:sz w:val="24"/>
        </w:rPr>
        <w:t xml:space="preserve"> e permanecem vinculados a </w:t>
      </w:r>
      <w:r>
        <w:rPr>
          <w:rFonts w:ascii="Arial" w:hAnsi="Arial" w:eastAsia="Arial"/>
          <w:b w:val="0"/>
          <w:i w:val="0"/>
          <w:sz w:val="24"/>
        </w:rPr>
        <w:t>DEV-01</w:t>
      </w:r>
      <w:r>
        <w:rPr>
          <w:rFonts w:ascii="Arial" w:hAnsi="Arial" w:eastAsia="Arial"/>
          <w:b w:val="0"/>
          <w:i w:val="0"/>
          <w:sz w:val="24"/>
        </w:rPr>
        <w:t>, eles serão interpretados como evidência operacional prévia, sem reclassificação retroativa como coleta formal ou caracterização ambiental.</w:t>
      </w:r>
    </w:p>
    <w:p>
      <w:pPr>
        <w:spacing w:before="0" w:after="120" w:line="360" w:lineRule="auto"/>
        <w:ind w:firstLine="709"/>
        <w:jc w:val="both"/>
      </w:pPr>
      <w:r>
        <w:rPr>
          <w:rFonts w:ascii="Arial" w:hAnsi="Arial" w:eastAsia="Arial"/>
          <w:b w:val="0"/>
          <w:i w:val="0"/>
          <w:sz w:val="24"/>
        </w:rPr>
        <w:t xml:space="preserve">A execução experimental final reunirá três sessões formais e não consecutivas com duração efetiva mínima de oito horas cada, totalizando ao menos 24 horas acumuladas. Uma quarta sessão será realizada somente para repor eventual sessão invalidada. As sessões estão planejadas para 19, 20 e 21/10/2026, no local de trabalho de um dos autores, dentro da janela operacional prevista das 08h às 18h. Essa janela admite variação nos horários efetivos de início e término. As sessões usarão o mesmo nó, firmware, intervalo configurado e cadeia de dados; cada uma terá </w:t>
      </w:r>
      <w:r>
        <w:rPr>
          <w:rFonts w:ascii="Arial" w:hAnsi="Arial" w:eastAsia="Arial"/>
          <w:b w:val="0"/>
          <w:i w:val="0"/>
          <w:sz w:val="24"/>
        </w:rPr>
        <w:t>run_id</w:t>
      </w:r>
      <w:r>
        <w:rPr>
          <w:rFonts w:ascii="Arial" w:hAnsi="Arial" w:eastAsia="Arial"/>
          <w:b w:val="0"/>
          <w:i w:val="0"/>
          <w:sz w:val="24"/>
        </w:rPr>
        <w:t xml:space="preserve"> próprio e data, janela operacional, local, conectividade e responsável registrados antes da execução. Elas avaliarão estabilidade operacional repetida, não operação ininterrupta por 24 horas ou caracterização ambiental de sala. Em cada sessão serão registrados os horários efetivos de início e fim, o intervalo configurado, o local, a conectividade, os eventos relevantes, as falhas identificadas e sua possível influência sobre a validade.</w:t>
      </w:r>
    </w:p>
    <w:p>
      <w:pPr>
        <w:pStyle w:val="Ttulo2"/>
        <w:spacing w:before="120" w:after="120" w:line="360" w:lineRule="auto"/>
        <w:jc w:val="left"/>
      </w:pPr>
      <w:r>
        <w:rPr>
          <w:rFonts w:ascii="Arial" w:hAnsi="Arial" w:eastAsia="Arial"/>
          <w:b/>
          <w:i w:val="0"/>
          <w:sz w:val="24"/>
        </w:rPr>
        <w:t>3.4 Requisitos funcionais e não funcionais</w:t>
      </w:r>
    </w:p>
    <w:p>
      <w:pPr>
        <w:spacing w:before="0" w:after="120" w:line="360" w:lineRule="auto"/>
        <w:ind w:firstLine="709"/>
        <w:jc w:val="both"/>
      </w:pPr>
      <w:r>
        <w:rPr>
          <w:rFonts w:ascii="Arial" w:hAnsi="Arial" w:eastAsia="Arial"/>
          <w:b w:val="0"/>
          <w:i w:val="0"/>
          <w:sz w:val="24"/>
        </w:rPr>
        <w:t>O sistema deverá adquirir as três variáveis selecionadas, associá-las a um identificador único, ao dispositivo, ao instante de leitura, à versão de configuração e ao estado de sincronização temporal. A aplicação deverá receber e validar as mensagens, armazenar medições de forma idempotente, disponibilizar consultas e apresentar valores recentes, séries temporais, informações operacionais e relatórios descritivos.</w:t>
      </w:r>
    </w:p>
    <w:p>
      <w:pPr>
        <w:spacing w:before="0" w:after="120" w:line="360" w:lineRule="auto"/>
        <w:ind w:firstLine="709"/>
        <w:jc w:val="both"/>
      </w:pPr>
      <w:r>
        <w:rPr>
          <w:rFonts w:ascii="Arial" w:hAnsi="Arial" w:eastAsia="Arial"/>
          <w:b w:val="0"/>
          <w:i w:val="0"/>
          <w:sz w:val="24"/>
        </w:rPr>
        <w:t>O ciclo de leitura e transmissão será único e configurável entre 10 e 300 segundos, com valor inicial de 60 segundos. Antes de cada execução válida, o intervalo deverá ser registrado e permanecer fixo até o encerramento. Durante uma indisponibilidade de Wi-Fi ou da API, o nó deverá continuar adquirindo leituras, manter uma fila local persistente de até 256 registros e reenviar as pendências em ordem após a reconexão. A remoção local somente poderá ocorrer após a confirmação de armazenamento pela API ou da existência prévia do mesmo identificador.</w:t>
      </w:r>
    </w:p>
    <w:p>
      <w:pPr>
        <w:spacing w:before="0" w:after="120" w:line="360" w:lineRule="auto"/>
        <w:ind w:firstLine="709"/>
        <w:jc w:val="both"/>
      </w:pPr>
      <w:r>
        <w:rPr>
          <w:rFonts w:ascii="Arial" w:hAnsi="Arial" w:eastAsia="Arial"/>
          <w:b w:val="0"/>
          <w:i w:val="0"/>
          <w:sz w:val="24"/>
        </w:rPr>
        <w:t>Entre os requisitos não funcionais estão rastreabilidade, preservação dos dados brutos, segurança inicial de acesso à API, ausência de duplicatas, contabilização explícita de perdas, comunicação de estado operacional e tratamento visível de falhas. O sistema não deverá preencher artificialmente ausências nem ocultar leituras inválidas nos resultados técnicos.</w:t>
      </w:r>
    </w:p>
    <w:p>
      <w:pPr>
        <w:pStyle w:val="Ttulo2"/>
        <w:spacing w:before="120" w:after="120" w:line="360" w:lineRule="auto"/>
        <w:jc w:val="left"/>
      </w:pPr>
      <w:r>
        <w:rPr>
          <w:rFonts w:ascii="Arial" w:hAnsi="Arial" w:eastAsia="Arial"/>
          <w:b/>
          <w:i w:val="0"/>
          <w:sz w:val="24"/>
        </w:rPr>
        <w:t>3.5 Seleção dos sensores e do microcontrolador</w:t>
      </w:r>
    </w:p>
    <w:p>
      <w:pPr>
        <w:spacing w:before="0" w:after="120" w:line="360" w:lineRule="auto"/>
        <w:ind w:firstLine="709"/>
        <w:jc w:val="both"/>
      </w:pPr>
      <w:r>
        <w:rPr>
          <w:rFonts w:ascii="Arial" w:hAnsi="Arial" w:eastAsia="Arial"/>
          <w:b w:val="0"/>
          <w:i w:val="0"/>
          <w:sz w:val="24"/>
        </w:rPr>
        <w:t xml:space="preserve">O nó previsto utilizará uma placa de desenvolvimento genérica anunciada como </w:t>
      </w:r>
      <w:r>
        <w:rPr>
          <w:rFonts w:ascii="Arial" w:hAnsi="Arial" w:eastAsia="Arial"/>
          <w:b w:val="0"/>
          <w:i w:val="0"/>
          <w:sz w:val="24"/>
        </w:rPr>
        <w:t>ESP32-WROOM-32D-38P</w:t>
      </w:r>
      <w:r>
        <w:rPr>
          <w:rFonts w:ascii="Arial" w:hAnsi="Arial" w:eastAsia="Arial"/>
          <w:b w:val="0"/>
          <w:i w:val="0"/>
          <w:sz w:val="24"/>
        </w:rPr>
        <w:t>, um módulo anunciado como SHT31 para temperatura e umidade relativa e um módulo anunciado como VEML7700 para iluminância. A seleção considerou compatibilidade com barramento I2C em 3,3 V, conectividade Wi-Fi, disponibilidade, documentação técnica, custo e viabilidade de integração ao protótipo. A placa foi adquirida em substituição à ESP32-C3 inicialmente prevista, por menor custo; sua identificação efetiva, pinagem e características elétricas serão verificadas no registro de montagem após a entrega.</w:t>
      </w:r>
    </w:p>
    <w:p>
      <w:pPr>
        <w:spacing w:before="0" w:after="120" w:line="360" w:lineRule="auto"/>
        <w:ind w:firstLine="709"/>
        <w:jc w:val="both"/>
      </w:pPr>
      <w:r>
        <w:rPr>
          <w:rFonts w:ascii="Arial" w:hAnsi="Arial" w:eastAsia="Arial"/>
          <w:b w:val="0"/>
          <w:i w:val="0"/>
          <w:sz w:val="24"/>
        </w:rPr>
        <w:t>As especificações de fabricante orientam a integração, mas não demonstram o desempenho das unidades comerciais recebidas. Antes da primeira energização serão conferidos a marcação da placa, o circuito USB, a porta serial, a saída de 3,3 V, a tensão aceita pelos módulos, a serigrafia e os endereços I2C. Os GPIOs de SDA e SCL somente serão definidos após essa inspeção; nenhum pino foi assumido previamente no firmware.</w:t>
      </w:r>
    </w:p>
    <w:p>
      <w:pPr>
        <w:pStyle w:val="Ttulo2"/>
        <w:spacing w:before="120" w:after="120" w:line="360" w:lineRule="auto"/>
        <w:jc w:val="left"/>
      </w:pPr>
      <w:r>
        <w:rPr>
          <w:rFonts w:ascii="Arial" w:hAnsi="Arial" w:eastAsia="Arial"/>
          <w:b/>
          <w:i w:val="0"/>
          <w:sz w:val="24"/>
        </w:rPr>
        <w:t>3.6 Arquitetura e fluxo de dados</w:t>
      </w:r>
    </w:p>
    <w:p>
      <w:pPr>
        <w:spacing w:before="0" w:after="120" w:line="360" w:lineRule="auto"/>
        <w:ind w:firstLine="709"/>
        <w:jc w:val="both"/>
      </w:pPr>
      <w:r>
        <w:rPr>
          <w:rFonts w:ascii="Arial" w:hAnsi="Arial" w:eastAsia="Arial"/>
          <w:b w:val="0"/>
          <w:i w:val="0"/>
          <w:sz w:val="24"/>
        </w:rPr>
        <w:t>A arquitetura é formada por sensores conectados ao microcontrolador com Wi-Fi, comunicação HTTP/JSON, rotas de API em uma aplicação Next.js, banco MySQL e interface web. O firmware obtém a leitura, atribui identificadores e metadados, mantém o registro em fila local até a confirmação e comunica sua situação operacional. A API valida a mensagem, registra a tentativa de entrega e persiste a medição canônica de forma idempotente. A aplicação consulta o banco no servidor para compor dashboard, histórico e relatórios.</w:t>
      </w:r>
    </w:p>
    <w:p>
      <w:pPr>
        <w:spacing w:before="0" w:after="120" w:line="360" w:lineRule="auto"/>
        <w:ind w:firstLine="709"/>
        <w:jc w:val="both"/>
      </w:pPr>
      <w:r>
        <w:rPr>
          <w:rFonts w:ascii="Arial" w:hAnsi="Arial" w:eastAsia="Arial"/>
          <w:b w:val="0"/>
          <w:i w:val="0"/>
          <w:sz w:val="24"/>
        </w:rPr>
        <w:t>Cada medição incluirá, no mínimo, identificador único da medição, identificador do dispositivo, identificador da inicialização do nó, número sequencial, instante da leitura, versão de configuração, valores medidos, estados de qualidade e informação sobre sincronização temporal. A telemetria operacional incluirá conexão, intensidade do sinal, ocupação da fila, perdas acumuladas e estado dos sensores. Essa separação permite distinguir uma condição ambiental observada de um problema de transmissão, fila ou sincronização.</w:t>
      </w:r>
    </w:p>
    <w:p>
      <w:pPr>
        <w:pStyle w:val="Ttulo2"/>
        <w:spacing w:before="120" w:after="120" w:line="360" w:lineRule="auto"/>
        <w:jc w:val="left"/>
      </w:pPr>
      <w:r>
        <w:rPr>
          <w:rFonts w:ascii="Arial" w:hAnsi="Arial" w:eastAsia="Arial"/>
          <w:b/>
          <w:i w:val="0"/>
          <w:sz w:val="24"/>
        </w:rPr>
        <w:t>3.7 Modelo de dados e rastreabilidade</w:t>
      </w:r>
    </w:p>
    <w:p>
      <w:pPr>
        <w:spacing w:before="0" w:after="120" w:line="360" w:lineRule="auto"/>
        <w:ind w:firstLine="709"/>
        <w:jc w:val="both"/>
      </w:pPr>
      <w:r>
        <w:rPr>
          <w:rFonts w:ascii="Arial" w:hAnsi="Arial" w:eastAsia="Arial"/>
          <w:b w:val="0"/>
          <w:i w:val="0"/>
          <w:sz w:val="24"/>
        </w:rPr>
        <w:t>O banco preservará a medição canônica separadamente das tentativas de entrega. Essa estrutura permite reconhecer reenvios legítimos, impedir duplicações pelo identificador da medição e registrar conflitos de integridade sem sobrescrever dados. A configuração do intervalo será versionada e sua aplicação pelo nó será confirmada ou rejeitada de modo auditável.</w:t>
      </w:r>
    </w:p>
    <w:p>
      <w:pPr>
        <w:spacing w:before="0" w:after="120" w:line="360" w:lineRule="auto"/>
        <w:ind w:firstLine="709"/>
        <w:jc w:val="both"/>
      </w:pPr>
      <w:r>
        <w:rPr>
          <w:rFonts w:ascii="Arial" w:hAnsi="Arial" w:eastAsia="Arial"/>
          <w:b w:val="0"/>
          <w:i w:val="0"/>
          <w:sz w:val="24"/>
        </w:rPr>
        <w:t>Os dados brutos serão mantidos sem edição, sobrescrita ou correção manual. Arquivos e consultas derivados serão produzidos por scripts identificados, com registro das entradas, parâmetros, regras e saídas. Para cada execução serão preservadas informações sobre versão do firmware, dispositivo, configuração aplicada, janela temporal, posição de instalação, eventos e falhas relevantes. Esse conjunto de metadados será utilizado para reconciliar os registros produzidos pelo nó com aqueles recebidos pela API, persistidos no banco e apresentados pela aplicação.</w:t>
      </w:r>
    </w:p>
    <w:p>
      <w:pPr>
        <w:pStyle w:val="Ttulo2"/>
        <w:spacing w:before="120" w:after="120" w:line="360" w:lineRule="auto"/>
        <w:jc w:val="left"/>
      </w:pPr>
      <w:r>
        <w:rPr>
          <w:rFonts w:ascii="Arial" w:hAnsi="Arial" w:eastAsia="Arial"/>
          <w:b/>
          <w:i w:val="0"/>
          <w:sz w:val="24"/>
        </w:rPr>
        <w:t>3.8 Protocolo de validação dos sensores</w:t>
      </w:r>
    </w:p>
    <w:p>
      <w:pPr>
        <w:spacing w:before="0" w:after="120" w:line="360" w:lineRule="auto"/>
        <w:ind w:firstLine="709"/>
        <w:jc w:val="both"/>
      </w:pPr>
      <w:r>
        <w:rPr>
          <w:rFonts w:ascii="Arial" w:hAnsi="Arial" w:eastAsia="Arial"/>
          <w:b w:val="0"/>
          <w:i w:val="0"/>
          <w:sz w:val="24"/>
        </w:rPr>
        <w:t>A avaliação inicial de cada variável consistirá em uma execução funcional de uma hora, com intervalo de 10 segundos e 360 tentativas esperadas. Serão aceitas apenas leituras numéricas dentro das faixas físicas adotadas para o protótipo: de -40 a 125 °C para temperatura, de 0 a 100% para umidade relativa e de 0 a 140.000 lx para iluminância. Leituras rejeitadas, erros de comunicação e falhas de integridade, quando aplicáveis, serão contabilizados.</w:t>
      </w:r>
    </w:p>
    <w:p>
      <w:pPr>
        <w:spacing w:before="0" w:after="120" w:line="360" w:lineRule="auto"/>
        <w:ind w:firstLine="709"/>
        <w:jc w:val="both"/>
      </w:pPr>
      <w:r>
        <w:rPr>
          <w:rFonts w:ascii="Arial" w:hAnsi="Arial" w:eastAsia="Arial"/>
          <w:b w:val="0"/>
          <w:i w:val="0"/>
          <w:sz w:val="24"/>
        </w:rPr>
        <w:t>A taxa de leituras válidas deverá ser de pelo menos 99%. Quando houver instrumento de referência adequado, as observações serão pareadas temporalmente e serão calculados erro individual, viés, erro absoluto médio (MAE), raiz do erro quadrático médio (RMSE) e percentil 95 do erro absoluto. Para iluminância com referência igual ou superior a 50 lx, será calculado também o erro percentual absoluto médio (MAPE).</w:t>
      </w:r>
    </w:p>
    <w:p>
      <w:pPr>
        <w:spacing w:before="0" w:after="120" w:line="360" w:lineRule="auto"/>
        <w:ind w:firstLine="709"/>
        <w:jc w:val="both"/>
      </w:pPr>
      <w:r>
        <w:rPr>
          <w:rFonts w:ascii="Arial" w:hAnsi="Arial" w:eastAsia="Arial"/>
          <w:b w:val="0"/>
          <w:i w:val="0"/>
          <w:sz w:val="24"/>
        </w:rPr>
        <w:t>As metas internas condicionais são MAE de até 0,5 °C e módulo do viés de até 0,3 °C para temperatura; MAE de até 5 pontos percentuais de umidade relativa (p.p. UR) e módulo do viés de até 3 p.p. UR; e MAPE de até 15% em iluminância a partir de 50 lx, ou MAE de até 10 lx abaixo dessa faixa. Tais metas não constituem limites normativos nem reproduzem automaticamente a especificação do fabricante. Uma classificação comparativa somente será emitida se o instrumento de referência possuir identificação, resolução, estado de calibração ou incerteza documentados e desempenho adequadamente superior. Sem essa condição, a comparação será descritiva e a evidência permanecerá funcional.</w:t>
      </w:r>
    </w:p>
    <w:p>
      <w:pPr>
        <w:pStyle w:val="Ttulo2"/>
        <w:spacing w:before="120" w:after="120" w:line="360" w:lineRule="auto"/>
        <w:jc w:val="left"/>
      </w:pPr>
      <w:r>
        <w:rPr>
          <w:rFonts w:ascii="Arial" w:hAnsi="Arial" w:eastAsia="Arial"/>
          <w:b/>
          <w:i w:val="0"/>
          <w:sz w:val="24"/>
        </w:rPr>
        <w:t>3.9 Validação ponta a ponta</w:t>
      </w:r>
    </w:p>
    <w:p>
      <w:pPr>
        <w:spacing w:before="0" w:after="120" w:line="360" w:lineRule="auto"/>
        <w:ind w:firstLine="709"/>
        <w:jc w:val="both"/>
      </w:pPr>
      <w:r>
        <w:rPr>
          <w:rFonts w:ascii="Arial" w:hAnsi="Arial" w:eastAsia="Arial"/>
          <w:b w:val="0"/>
          <w:i w:val="0"/>
          <w:sz w:val="24"/>
        </w:rPr>
        <w:t>A validação ponta a ponta verificará a passagem de uma leitura pelo firmware, API, MySQL e dashboard. Em execução online controlada, serão comparados os identificadores, valores, unidades, timestamps, configuração aplicada e estados de qualidade produzidos e recebidos. Serão observadas completude, perdas, regularidade temporal, latência até a API, latência até o dashboard, disponibilidade, consistência e duplicidade.</w:t>
      </w:r>
    </w:p>
    <w:p>
      <w:pPr>
        <w:spacing w:before="0" w:after="120" w:line="360" w:lineRule="auto"/>
        <w:ind w:firstLine="709"/>
        <w:jc w:val="both"/>
      </w:pPr>
      <w:r>
        <w:rPr>
          <w:rFonts w:ascii="Arial" w:hAnsi="Arial" w:eastAsia="Arial"/>
          <w:b w:val="0"/>
          <w:i w:val="0"/>
          <w:sz w:val="24"/>
        </w:rPr>
        <w:t>Também serão executados testes de configuração com intervalos de 10, 60 e 300 segundos, incluindo rejeição de valores fora da faixa e persistência após reinicialização. Para a operação offline, serão interrompidos Wi-Fi ou API de maneira controlada para verificar continuidade da aquisição, persistência após reinicialização, advertência a partir de 205 registros, comportamento com fila cheia, reenvio em ordem, confirmação idempotente e contabilização de perdas. A sincronização temporal será conferida no início e no fim das execuções, além de ser observada após uma reinicialização sem rede.</w:t>
      </w:r>
    </w:p>
    <w:p>
      <w:pPr>
        <w:spacing w:before="0" w:after="120" w:line="360" w:lineRule="auto"/>
        <w:ind w:firstLine="709"/>
        <w:jc w:val="both"/>
      </w:pPr>
      <w:r>
        <w:rPr>
          <w:rFonts w:ascii="Arial" w:hAnsi="Arial" w:eastAsia="Arial"/>
          <w:b w:val="0"/>
          <w:i w:val="0"/>
          <w:sz w:val="24"/>
        </w:rPr>
        <w:t>Os ensaios locais da API, do banco de dados e do dashboard já constituem evidência preliminar da parte de software. Entretanto, a validação ponta a ponta somente será considerada concluída após a repetição com o firmware executando na placa recebida e na rede de avaliação.</w:t>
      </w:r>
    </w:p>
    <w:p>
      <w:pPr>
        <w:pStyle w:val="Ttulo2"/>
        <w:spacing w:before="120" w:after="120" w:line="360" w:lineRule="auto"/>
        <w:jc w:val="left"/>
      </w:pPr>
      <w:r>
        <w:rPr>
          <w:rFonts w:ascii="Arial" w:hAnsi="Arial" w:eastAsia="Arial"/>
          <w:b/>
          <w:i w:val="0"/>
          <w:sz w:val="24"/>
        </w:rPr>
        <w:t>3.10 Métricas e critérios de aceitação</w:t>
      </w:r>
    </w:p>
    <w:p>
      <w:pPr>
        <w:spacing w:before="0" w:after="120" w:line="360" w:lineRule="auto"/>
        <w:ind w:firstLine="709"/>
        <w:jc w:val="both"/>
      </w:pPr>
      <w:r>
        <w:rPr>
          <w:rFonts w:ascii="Arial" w:hAnsi="Arial" w:eastAsia="Arial"/>
          <w:b w:val="0"/>
          <w:i w:val="0"/>
          <w:sz w:val="24"/>
        </w:rPr>
        <w:t>As métricas adotadas são apresentadas na Tabela 1. Os valores são critérios internos de engenharia definidos antes da coleta; não representam limites ambientais normativos.</w:t>
      </w:r>
    </w:p>
    <w:p>
      <w:pPr>
        <w:spacing w:before="120" w:after="40" w:line="240" w:lineRule="auto"/>
        <w:jc w:val="left"/>
      </w:pPr>
      <w:r>
        <w:rPr>
          <w:rFonts w:ascii="Arial" w:hAnsi="Arial" w:eastAsia="Arial"/>
          <w:b/>
          <w:i w:val="0"/>
          <w:sz w:val="20"/>
        </w:rPr>
        <w:t>Tabela 1 — Métricas e critérios de aceitação da cadeia ponta a ponta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before="0" w:after="0" w:line="240" w:lineRule="auto"/>
              <w:jc w:val="center"/>
            </w:pPr>
            <w:r>
              <w:rPr>
                <w:rFonts w:ascii="Arial" w:hAnsi="Arial" w:eastAsia="Arial"/>
                <w:b/>
                <w:i w:val="0"/>
                <w:sz w:val="18"/>
              </w:rPr>
              <w:t>Métrica</w:t>
            </w:r>
          </w:p>
        </w:tc>
        <w:tc>
          <w:tcPr>
            <w:tcW w:type="dxa" w:w="3024"/>
          </w:tcPr>
          <w:p>
            <w:pPr>
              <w:spacing w:before="0" w:after="0" w:line="240" w:lineRule="auto"/>
              <w:jc w:val="center"/>
            </w:pPr>
            <w:r>
              <w:rPr>
                <w:rFonts w:ascii="Arial" w:hAnsi="Arial" w:eastAsia="Arial"/>
                <w:b/>
                <w:i w:val="0"/>
                <w:sz w:val="18"/>
              </w:rPr>
              <w:t>Definição operacional</w:t>
            </w:r>
          </w:p>
        </w:tc>
        <w:tc>
          <w:tcPr>
            <w:tcW w:type="dxa" w:w="3024"/>
          </w:tcPr>
          <w:p>
            <w:pPr>
              <w:spacing w:before="0" w:after="0" w:line="240" w:lineRule="auto"/>
              <w:jc w:val="center"/>
            </w:pPr>
            <w:r>
              <w:rPr>
                <w:rFonts w:ascii="Arial" w:hAnsi="Arial" w:eastAsia="Arial"/>
                <w:b/>
                <w:i w:val="0"/>
                <w:sz w:val="18"/>
              </w:rPr>
              <w:t>Critério de aceitação</w:t>
            </w:r>
          </w:p>
        </w:tc>
      </w:tr>
      <w:tr>
        <w:tc>
          <w:tcPr>
            <w:tcW w:type="dxa" w:w="3024"/>
          </w:tcPr>
          <w:p>
            <w:pPr>
              <w:spacing w:before="0" w:after="0" w:line="240" w:lineRule="auto"/>
              <w:jc w:val="left"/>
            </w:pPr>
            <w:r>
              <w:rPr>
                <w:rFonts w:ascii="Arial" w:hAnsi="Arial" w:eastAsia="Arial"/>
                <w:b w:val="0"/>
                <w:i w:val="0"/>
                <w:sz w:val="18"/>
              </w:rPr>
              <w:t>Completude</w:t>
            </w:r>
          </w:p>
        </w:tc>
        <w:tc>
          <w:tcPr>
            <w:tcW w:type="dxa" w:w="3024"/>
          </w:tcPr>
          <w:p>
            <w:pPr>
              <w:spacing w:before="0" w:after="0" w:line="240" w:lineRule="auto"/>
              <w:jc w:val="left"/>
            </w:pPr>
            <w:r>
              <w:rPr>
                <w:rFonts w:ascii="Arial" w:hAnsi="Arial" w:eastAsia="Arial"/>
                <w:b w:val="0"/>
                <w:i w:val="0"/>
                <w:sz w:val="18"/>
              </w:rPr>
              <w:t>Registros únicos armazenados divididos pelos registros esperados</w:t>
            </w:r>
          </w:p>
        </w:tc>
        <w:tc>
          <w:tcPr>
            <w:tcW w:type="dxa" w:w="3024"/>
          </w:tcPr>
          <w:p>
            <w:pPr>
              <w:spacing w:before="0" w:after="0" w:line="240" w:lineRule="auto"/>
              <w:jc w:val="left"/>
            </w:pPr>
            <w:r>
              <w:rPr>
                <w:rFonts w:ascii="Arial" w:hAnsi="Arial" w:eastAsia="Arial"/>
                <w:b w:val="0"/>
                <w:i w:val="0"/>
                <w:sz w:val="18"/>
              </w:rPr>
              <w:t>Pelo menos 99% em teste controlado e 95% em cada execução válida</w:t>
            </w:r>
          </w:p>
        </w:tc>
      </w:tr>
      <w:tr>
        <w:tc>
          <w:tcPr>
            <w:tcW w:type="dxa" w:w="3024"/>
          </w:tcPr>
          <w:p>
            <w:pPr>
              <w:spacing w:before="0" w:after="0" w:line="240" w:lineRule="auto"/>
              <w:jc w:val="left"/>
            </w:pPr>
            <w:r>
              <w:rPr>
                <w:rFonts w:ascii="Arial" w:hAnsi="Arial" w:eastAsia="Arial"/>
                <w:b w:val="0"/>
                <w:i w:val="0"/>
                <w:sz w:val="18"/>
              </w:rPr>
              <w:t>Perda</w:t>
            </w:r>
          </w:p>
        </w:tc>
        <w:tc>
          <w:tcPr>
            <w:tcW w:type="dxa" w:w="3024"/>
          </w:tcPr>
          <w:p>
            <w:pPr>
              <w:spacing w:before="0" w:after="0" w:line="240" w:lineRule="auto"/>
              <w:jc w:val="left"/>
            </w:pPr>
            <w:r>
              <w:rPr>
                <w:rFonts w:ascii="Arial" w:hAnsi="Arial" w:eastAsia="Arial"/>
                <w:b w:val="0"/>
                <w:i w:val="0"/>
                <w:sz w:val="18"/>
              </w:rPr>
              <w:t>Diferença entre registros esperados e registros únicos armazenados</w:t>
            </w:r>
          </w:p>
        </w:tc>
        <w:tc>
          <w:tcPr>
            <w:tcW w:type="dxa" w:w="3024"/>
          </w:tcPr>
          <w:p>
            <w:pPr>
              <w:spacing w:before="0" w:after="0" w:line="240" w:lineRule="auto"/>
              <w:jc w:val="left"/>
            </w:pPr>
            <w:r>
              <w:rPr>
                <w:rFonts w:ascii="Arial" w:hAnsi="Arial" w:eastAsia="Arial"/>
                <w:b w:val="0"/>
                <w:i w:val="0"/>
                <w:sz w:val="18"/>
              </w:rPr>
              <w:t>No máximo 1% em teste controlado; toda perda identificada</w:t>
            </w:r>
          </w:p>
        </w:tc>
      </w:tr>
      <w:tr>
        <w:tc>
          <w:tcPr>
            <w:tcW w:type="dxa" w:w="3024"/>
          </w:tcPr>
          <w:p>
            <w:pPr>
              <w:spacing w:before="0" w:after="0" w:line="240" w:lineRule="auto"/>
              <w:jc w:val="left"/>
            </w:pPr>
            <w:r>
              <w:rPr>
                <w:rFonts w:ascii="Arial" w:hAnsi="Arial" w:eastAsia="Arial"/>
                <w:b w:val="0"/>
                <w:i w:val="0"/>
                <w:sz w:val="18"/>
              </w:rPr>
              <w:t>Regularidade temporal</w:t>
            </w:r>
          </w:p>
        </w:tc>
        <w:tc>
          <w:tcPr>
            <w:tcW w:type="dxa" w:w="3024"/>
          </w:tcPr>
          <w:p>
            <w:pPr>
              <w:spacing w:before="0" w:after="0" w:line="240" w:lineRule="auto"/>
              <w:jc w:val="left"/>
            </w:pPr>
            <w:r>
              <w:rPr>
                <w:rFonts w:ascii="Arial" w:hAnsi="Arial" w:eastAsia="Arial"/>
                <w:b w:val="0"/>
                <w:i w:val="0"/>
                <w:sz w:val="18"/>
              </w:rPr>
              <w:t>Erro absoluto entre intervalo observado e configurado</w:t>
            </w:r>
          </w:p>
        </w:tc>
        <w:tc>
          <w:tcPr>
            <w:tcW w:type="dxa" w:w="3024"/>
          </w:tcPr>
          <w:p>
            <w:pPr>
              <w:spacing w:before="0" w:after="0" w:line="240" w:lineRule="auto"/>
              <w:jc w:val="left"/>
            </w:pPr>
            <w:r>
              <w:rPr>
                <w:rFonts w:ascii="Arial" w:hAnsi="Arial" w:eastAsia="Arial"/>
                <w:b w:val="0"/>
                <w:i w:val="0"/>
                <w:sz w:val="18"/>
              </w:rPr>
              <w:t>P95 até o maior valor entre 1 s e 5% do intervalo</w:t>
            </w:r>
          </w:p>
        </w:tc>
      </w:tr>
      <w:tr>
        <w:tc>
          <w:tcPr>
            <w:tcW w:type="dxa" w:w="3024"/>
          </w:tcPr>
          <w:p>
            <w:pPr>
              <w:spacing w:before="0" w:after="0" w:line="240" w:lineRule="auto"/>
              <w:jc w:val="left"/>
            </w:pPr>
            <w:r>
              <w:rPr>
                <w:rFonts w:ascii="Arial" w:hAnsi="Arial" w:eastAsia="Arial"/>
                <w:b w:val="0"/>
                <w:i w:val="0"/>
                <w:sz w:val="18"/>
              </w:rPr>
              <w:t>Latência até a API</w:t>
            </w:r>
          </w:p>
        </w:tc>
        <w:tc>
          <w:tcPr>
            <w:tcW w:type="dxa" w:w="3024"/>
          </w:tcPr>
          <w:p>
            <w:pPr>
              <w:spacing w:before="0" w:after="0" w:line="240" w:lineRule="auto"/>
              <w:jc w:val="left"/>
            </w:pPr>
            <w:r>
              <w:rPr>
                <w:rFonts w:ascii="Arial" w:hAnsi="Arial" w:eastAsia="Arial"/>
                <w:b w:val="0"/>
                <w:i w:val="0"/>
                <w:sz w:val="18"/>
              </w:rPr>
              <w:t>Recebimento pela API menos instante da leitura</w:t>
            </w:r>
          </w:p>
        </w:tc>
        <w:tc>
          <w:tcPr>
            <w:tcW w:type="dxa" w:w="3024"/>
          </w:tcPr>
          <w:p>
            <w:pPr>
              <w:spacing w:before="0" w:after="0" w:line="240" w:lineRule="auto"/>
              <w:jc w:val="left"/>
            </w:pPr>
            <w:r>
              <w:rPr>
                <w:rFonts w:ascii="Arial" w:hAnsi="Arial" w:eastAsia="Arial"/>
                <w:b w:val="0"/>
                <w:i w:val="0"/>
                <w:sz w:val="18"/>
              </w:rPr>
              <w:t>P95 de até 5 s durante operação online</w:t>
            </w:r>
          </w:p>
        </w:tc>
      </w:tr>
      <w:tr>
        <w:tc>
          <w:tcPr>
            <w:tcW w:type="dxa" w:w="3024"/>
          </w:tcPr>
          <w:p>
            <w:pPr>
              <w:spacing w:before="0" w:after="0" w:line="240" w:lineRule="auto"/>
              <w:jc w:val="left"/>
            </w:pPr>
            <w:r>
              <w:rPr>
                <w:rFonts w:ascii="Arial" w:hAnsi="Arial" w:eastAsia="Arial"/>
                <w:b w:val="0"/>
                <w:i w:val="0"/>
                <w:sz w:val="18"/>
              </w:rPr>
              <w:t>Latência ponta a ponta</w:t>
            </w:r>
          </w:p>
        </w:tc>
        <w:tc>
          <w:tcPr>
            <w:tcW w:type="dxa" w:w="3024"/>
          </w:tcPr>
          <w:p>
            <w:pPr>
              <w:spacing w:before="0" w:after="0" w:line="240" w:lineRule="auto"/>
              <w:jc w:val="left"/>
            </w:pPr>
            <w:r>
              <w:rPr>
                <w:rFonts w:ascii="Arial" w:hAnsi="Arial" w:eastAsia="Arial"/>
                <w:b w:val="0"/>
                <w:i w:val="0"/>
                <w:sz w:val="18"/>
              </w:rPr>
              <w:t>Exibição no dashboard menos instante da leitura</w:t>
            </w:r>
          </w:p>
        </w:tc>
        <w:tc>
          <w:tcPr>
            <w:tcW w:type="dxa" w:w="3024"/>
          </w:tcPr>
          <w:p>
            <w:pPr>
              <w:spacing w:before="0" w:after="0" w:line="240" w:lineRule="auto"/>
              <w:jc w:val="left"/>
            </w:pPr>
            <w:r>
              <w:rPr>
                <w:rFonts w:ascii="Arial" w:hAnsi="Arial" w:eastAsia="Arial"/>
                <w:b w:val="0"/>
                <w:i w:val="0"/>
                <w:sz w:val="18"/>
              </w:rPr>
              <w:t>P95 de até 10 s durante operação online</w:t>
            </w:r>
          </w:p>
        </w:tc>
      </w:tr>
      <w:tr>
        <w:tc>
          <w:tcPr>
            <w:tcW w:type="dxa" w:w="3024"/>
          </w:tcPr>
          <w:p>
            <w:pPr>
              <w:spacing w:before="0" w:after="0" w:line="240" w:lineRule="auto"/>
              <w:jc w:val="left"/>
            </w:pPr>
            <w:r>
              <w:rPr>
                <w:rFonts w:ascii="Arial" w:hAnsi="Arial" w:eastAsia="Arial"/>
                <w:b w:val="0"/>
                <w:i w:val="0"/>
                <w:sz w:val="18"/>
              </w:rPr>
              <w:t>Disponibilidade</w:t>
            </w:r>
          </w:p>
        </w:tc>
        <w:tc>
          <w:tcPr>
            <w:tcW w:type="dxa" w:w="3024"/>
          </w:tcPr>
          <w:p>
            <w:pPr>
              <w:spacing w:before="0" w:after="0" w:line="240" w:lineRule="auto"/>
              <w:jc w:val="left"/>
            </w:pPr>
            <w:r>
              <w:rPr>
                <w:rFonts w:ascii="Arial" w:hAnsi="Arial" w:eastAsia="Arial"/>
                <w:b w:val="0"/>
                <w:i w:val="0"/>
                <w:sz w:val="18"/>
              </w:rPr>
              <w:t>Tempo operacional dividido pelo tempo programado</w:t>
            </w:r>
          </w:p>
        </w:tc>
        <w:tc>
          <w:tcPr>
            <w:tcW w:type="dxa" w:w="3024"/>
          </w:tcPr>
          <w:p>
            <w:pPr>
              <w:spacing w:before="0" w:after="0" w:line="240" w:lineRule="auto"/>
              <w:jc w:val="left"/>
            </w:pPr>
            <w:r>
              <w:rPr>
                <w:rFonts w:ascii="Arial" w:hAnsi="Arial" w:eastAsia="Arial"/>
                <w:b w:val="0"/>
                <w:i w:val="0"/>
                <w:sz w:val="18"/>
              </w:rPr>
              <w:t>Pelo menos 95% em cada execução válida</w:t>
            </w:r>
          </w:p>
        </w:tc>
      </w:tr>
      <w:tr>
        <w:tc>
          <w:tcPr>
            <w:tcW w:type="dxa" w:w="3024"/>
          </w:tcPr>
          <w:p>
            <w:pPr>
              <w:spacing w:before="0" w:after="0" w:line="240" w:lineRule="auto"/>
              <w:jc w:val="left"/>
            </w:pPr>
            <w:r>
              <w:rPr>
                <w:rFonts w:ascii="Arial" w:hAnsi="Arial" w:eastAsia="Arial"/>
                <w:b w:val="0"/>
                <w:i w:val="0"/>
                <w:sz w:val="18"/>
              </w:rPr>
              <w:t>Consistência</w:t>
            </w:r>
          </w:p>
        </w:tc>
        <w:tc>
          <w:tcPr>
            <w:tcW w:type="dxa" w:w="3024"/>
          </w:tcPr>
          <w:p>
            <w:pPr>
              <w:spacing w:before="0" w:after="0" w:line="240" w:lineRule="auto"/>
              <w:jc w:val="left"/>
            </w:pPr>
            <w:r>
              <w:rPr>
                <w:rFonts w:ascii="Arial" w:hAnsi="Arial" w:eastAsia="Arial"/>
                <w:b w:val="0"/>
                <w:i w:val="0"/>
                <w:sz w:val="18"/>
              </w:rPr>
              <w:t>Registros equivalentes entre as camadas divididos pelos auditados</w:t>
            </w:r>
          </w:p>
        </w:tc>
        <w:tc>
          <w:tcPr>
            <w:tcW w:type="dxa" w:w="3024"/>
          </w:tcPr>
          <w:p>
            <w:pPr>
              <w:spacing w:before="0" w:after="0" w:line="240" w:lineRule="auto"/>
              <w:jc w:val="left"/>
            </w:pPr>
            <w:r>
              <w:rPr>
                <w:rFonts w:ascii="Arial" w:hAnsi="Arial" w:eastAsia="Arial"/>
                <w:b w:val="0"/>
                <w:i w:val="0"/>
                <w:sz w:val="18"/>
              </w:rPr>
              <w:t>100%</w:t>
            </w:r>
          </w:p>
        </w:tc>
      </w:tr>
      <w:tr>
        <w:tc>
          <w:tcPr>
            <w:tcW w:type="dxa" w:w="3024"/>
          </w:tcPr>
          <w:p>
            <w:pPr>
              <w:spacing w:before="0" w:after="0" w:line="240" w:lineRule="auto"/>
              <w:jc w:val="left"/>
            </w:pPr>
            <w:r>
              <w:rPr>
                <w:rFonts w:ascii="Arial" w:hAnsi="Arial" w:eastAsia="Arial"/>
                <w:b w:val="0"/>
                <w:i w:val="0"/>
                <w:sz w:val="18"/>
              </w:rPr>
              <w:t>Duplicidade</w:t>
            </w:r>
          </w:p>
        </w:tc>
        <w:tc>
          <w:tcPr>
            <w:tcW w:type="dxa" w:w="3024"/>
          </w:tcPr>
          <w:p>
            <w:pPr>
              <w:spacing w:before="0" w:after="0" w:line="240" w:lineRule="auto"/>
              <w:jc w:val="left"/>
            </w:pPr>
            <w:r>
              <w:rPr>
                <w:rFonts w:ascii="Arial" w:hAnsi="Arial" w:eastAsia="Arial"/>
                <w:b w:val="0"/>
                <w:i w:val="0"/>
                <w:sz w:val="18"/>
              </w:rPr>
              <w:t>Identificadores repetidos no banco</w:t>
            </w:r>
          </w:p>
        </w:tc>
        <w:tc>
          <w:tcPr>
            <w:tcW w:type="dxa" w:w="3024"/>
          </w:tcPr>
          <w:p>
            <w:pPr>
              <w:spacing w:before="0" w:after="0" w:line="240" w:lineRule="auto"/>
              <w:jc w:val="left"/>
            </w:pPr>
            <w:r>
              <w:rPr>
                <w:rFonts w:ascii="Arial" w:hAnsi="Arial" w:eastAsia="Arial"/>
                <w:b w:val="0"/>
                <w:i w:val="0"/>
                <w:sz w:val="18"/>
              </w:rPr>
              <w:t>Zero</w:t>
            </w:r>
          </w:p>
        </w:tc>
      </w:tr>
      <w:tr>
        <w:tc>
          <w:tcPr>
            <w:tcW w:type="dxa" w:w="3024"/>
          </w:tcPr>
          <w:p>
            <w:pPr>
              <w:spacing w:before="0" w:after="0" w:line="240" w:lineRule="auto"/>
              <w:jc w:val="left"/>
            </w:pPr>
            <w:r>
              <w:rPr>
                <w:rFonts w:ascii="Arial" w:hAnsi="Arial" w:eastAsia="Arial"/>
                <w:b w:val="0"/>
                <w:i w:val="0"/>
                <w:sz w:val="18"/>
              </w:rPr>
              <w:t>Sincronização temporal</w:t>
            </w:r>
          </w:p>
        </w:tc>
        <w:tc>
          <w:tcPr>
            <w:tcW w:type="dxa" w:w="3024"/>
          </w:tcPr>
          <w:p>
            <w:pPr>
              <w:spacing w:before="0" w:after="0" w:line="240" w:lineRule="auto"/>
              <w:jc w:val="left"/>
            </w:pPr>
            <w:r>
              <w:rPr>
                <w:rFonts w:ascii="Arial" w:hAnsi="Arial" w:eastAsia="Arial"/>
                <w:b w:val="0"/>
                <w:i w:val="0"/>
                <w:sz w:val="18"/>
              </w:rPr>
              <w:t>Diferença entre relógio do nó e referência</w:t>
            </w:r>
          </w:p>
        </w:tc>
        <w:tc>
          <w:tcPr>
            <w:tcW w:type="dxa" w:w="3024"/>
          </w:tcPr>
          <w:p>
            <w:pPr>
              <w:spacing w:before="0" w:after="0" w:line="240" w:lineRule="auto"/>
              <w:jc w:val="left"/>
            </w:pPr>
            <w:r>
              <w:rPr>
                <w:rFonts w:ascii="Arial" w:hAnsi="Arial" w:eastAsia="Arial"/>
                <w:b w:val="0"/>
                <w:i w:val="0"/>
                <w:sz w:val="18"/>
              </w:rPr>
              <w:t>Até 2 s quando sincronizado</w:t>
            </w:r>
          </w:p>
        </w:tc>
      </w:tr>
    </w:tbl>
    <w:p/>
    <w:p>
      <w:pPr>
        <w:spacing w:before="0" w:after="120" w:line="240" w:lineRule="auto"/>
        <w:jc w:val="left"/>
      </w:pPr>
      <w:r>
        <w:rPr>
          <w:rFonts w:ascii="Arial" w:hAnsi="Arial" w:eastAsia="Arial"/>
          <w:b w:val="0"/>
          <w:i w:val="0"/>
          <w:sz w:val="20"/>
        </w:rPr>
        <w:t>Fonte: elaborada pelos autores com base nos critérios internos do projeto (2026).</w:t>
      </w:r>
    </w:p>
    <w:p>
      <w:pPr>
        <w:spacing w:before="0" w:after="120" w:line="360" w:lineRule="auto"/>
        <w:ind w:firstLine="709"/>
        <w:jc w:val="both"/>
      </w:pPr>
      <w:r>
        <w:rPr>
          <w:rFonts w:ascii="Arial" w:hAnsi="Arial" w:eastAsia="Arial"/>
          <w:b w:val="0"/>
          <w:i w:val="0"/>
          <w:sz w:val="24"/>
        </w:rPr>
        <w:t xml:space="preserve">A quantidade esperada será calculada sobre a janela semiaberta entre início, inclusive, e término, exclusive: </w:t>
      </w:r>
      <w:r>
        <w:rPr>
          <w:rFonts w:ascii="Arial" w:hAnsi="Arial" w:eastAsia="Arial"/>
          <w:b w:val="0"/>
          <w:i w:val="0"/>
          <w:sz w:val="24"/>
        </w:rPr>
        <w:t>N_esperado = teto((t_fim - t_início) / intervalo)</w:t>
      </w:r>
      <w:r>
        <w:rPr>
          <w:rFonts w:ascii="Arial" w:hAnsi="Arial" w:eastAsia="Arial"/>
          <w:b w:val="0"/>
          <w:i w:val="0"/>
          <w:sz w:val="24"/>
        </w:rPr>
        <w:t xml:space="preserve">. O instante </w:t>
      </w:r>
      <w:r>
        <w:rPr>
          <w:rFonts w:ascii="Arial" w:hAnsi="Arial" w:eastAsia="Arial"/>
          <w:b w:val="0"/>
          <w:i w:val="0"/>
          <w:sz w:val="24"/>
        </w:rPr>
        <w:t>t_início</w:t>
      </w:r>
      <w:r>
        <w:rPr>
          <w:rFonts w:ascii="Arial" w:hAnsi="Arial" w:eastAsia="Arial"/>
          <w:b w:val="0"/>
          <w:i w:val="0"/>
          <w:sz w:val="24"/>
        </w:rPr>
        <w:t xml:space="preserve"> corresponderá à primeira aquisição programada da execução. A função teto é necessária porque a grade inclui essa posição inicial; por exemplo, uma janela de 5 minutos e 30 segundos com intervalo de 60 segundos contém seis posições esperadas. Registros fora da janela serão preservados, mas não entrarão no denominador de completude. Uma execução será válida somente se apresentar pelo menos oito horas efetivas contínuas dentro da janela operacional registrada, alcançar ao menos 95% de completude e disponibilidade, manter o intervalo registrado, possuir ao menos 99% de registros sincronizados, não apresentar inconsistência ou duplicidade e conter registro de local, conectividade, eventos e falhas.</w:t>
      </w:r>
    </w:p>
    <w:p>
      <w:pPr>
        <w:pStyle w:val="Ttulo2"/>
        <w:spacing w:before="120" w:after="120" w:line="360" w:lineRule="auto"/>
        <w:jc w:val="left"/>
      </w:pPr>
      <w:r>
        <w:rPr>
          <w:rFonts w:ascii="Arial" w:hAnsi="Arial" w:eastAsia="Arial"/>
          <w:b/>
          <w:i w:val="0"/>
          <w:sz w:val="24"/>
        </w:rPr>
        <w:t>3.11 Tratamento e análise dos dados</w:t>
      </w:r>
    </w:p>
    <w:p>
      <w:pPr>
        <w:spacing w:before="0" w:after="120" w:line="360" w:lineRule="auto"/>
        <w:ind w:firstLine="709"/>
        <w:jc w:val="both"/>
      </w:pPr>
      <w:r>
        <w:rPr>
          <w:rFonts w:ascii="Arial" w:hAnsi="Arial" w:eastAsia="Arial"/>
          <w:b w:val="0"/>
          <w:i w:val="0"/>
          <w:sz w:val="24"/>
        </w:rPr>
        <w:t xml:space="preserve">Serão formados subconjuntos operacionais separados para cada sessão formal, reunindo medições válidas, tentativas com falha, perdas, duplicidades, reenvios, eventos de fila, registros fora da janela e registros sem sincronização. Cada sessão será avaliada individualmente; apenas depois poderá ser apresentada uma síntese acumulada das três sessões válidas, sem ocultar resultados abaixo dos critérios. Registros físicos anteriores poderão ser apresentados separadamente como evidência operacional prévia, com sua limitação de </w:t>
      </w:r>
      <w:r>
        <w:rPr>
          <w:rFonts w:ascii="Arial" w:hAnsi="Arial" w:eastAsia="Arial"/>
          <w:b w:val="0"/>
          <w:i w:val="0"/>
          <w:sz w:val="24"/>
        </w:rPr>
        <w:t>run_id</w:t>
      </w:r>
      <w:r>
        <w:rPr>
          <w:rFonts w:ascii="Arial" w:hAnsi="Arial" w:eastAsia="Arial"/>
          <w:b w:val="0"/>
          <w:i w:val="0"/>
          <w:sz w:val="24"/>
        </w:rPr>
        <w:t xml:space="preserve"> e sala cadastrada. Não haverá subconjunto ambiental principal nem comparação entre horários distintos.</w:t>
      </w:r>
    </w:p>
    <w:p>
      <w:pPr>
        <w:spacing w:before="0" w:after="120" w:line="360" w:lineRule="auto"/>
        <w:ind w:firstLine="709"/>
        <w:jc w:val="both"/>
      </w:pPr>
      <w:r>
        <w:rPr>
          <w:rFonts w:ascii="Arial" w:hAnsi="Arial" w:eastAsia="Arial"/>
          <w:b w:val="0"/>
          <w:i w:val="0"/>
          <w:sz w:val="24"/>
        </w:rPr>
        <w:t xml:space="preserve">As posições esperadas serão geradas a partir do início de cada execução e do intervalo configurado. Uma posição sem medição válida e única será identificada como </w:t>
      </w:r>
      <w:r>
        <w:rPr>
          <w:rFonts w:ascii="Arial" w:hAnsi="Arial" w:eastAsia="Arial"/>
          <w:b w:val="0"/>
          <w:i w:val="0"/>
          <w:sz w:val="24"/>
        </w:rPr>
        <w:t>MISSING_SLOT</w:t>
      </w:r>
      <w:r>
        <w:rPr>
          <w:rFonts w:ascii="Arial" w:hAnsi="Arial" w:eastAsia="Arial"/>
          <w:b w:val="0"/>
          <w:i w:val="0"/>
          <w:sz w:val="24"/>
        </w:rPr>
        <w:t>. Serão calculados total e percentual de ausências, número de lacunas, maior sequência consecutiva sem leitura válida e, quando identificável, a causa correspondente. Não haverá interpolação, preenchimento pela média ou repetição do último valor na análise principal.</w:t>
      </w:r>
    </w:p>
    <w:p>
      <w:pPr>
        <w:spacing w:before="0" w:after="120" w:line="360" w:lineRule="auto"/>
        <w:ind w:firstLine="709"/>
        <w:jc w:val="both"/>
      </w:pPr>
      <w:r>
        <w:rPr>
          <w:rFonts w:ascii="Arial" w:hAnsi="Arial" w:eastAsia="Arial"/>
          <w:b w:val="0"/>
          <w:i w:val="0"/>
          <w:sz w:val="24"/>
        </w:rPr>
        <w:t>Reenvios realizados após indisponibilidade continuarão elegíveis quando conservarem instante sincronizado, valores válidos e identificador único. Valores incomuns dentro da faixa física não serão removidos automaticamente. Uma exclusão manual exigirá evidência de falha técnica e registrará motivo, autor e data; quando puder influenciar materialmente uma conclusão, será feita análise de sensibilidade com e sem a exclusão.</w:t>
      </w:r>
    </w:p>
    <w:p>
      <w:pPr>
        <w:pStyle w:val="Ttulo2"/>
        <w:spacing w:before="120" w:after="120" w:line="360" w:lineRule="auto"/>
        <w:jc w:val="left"/>
      </w:pPr>
      <w:r>
        <w:rPr>
          <w:rFonts w:ascii="Arial" w:hAnsi="Arial" w:eastAsia="Arial"/>
          <w:b/>
          <w:i w:val="0"/>
          <w:sz w:val="24"/>
        </w:rPr>
        <w:t>3.12 Análise de custo e reprodutibilidade</w:t>
      </w:r>
    </w:p>
    <w:p>
      <w:pPr>
        <w:spacing w:before="0" w:after="120" w:line="360" w:lineRule="auto"/>
        <w:ind w:firstLine="709"/>
        <w:jc w:val="both"/>
      </w:pPr>
      <w:r>
        <w:rPr>
          <w:rFonts w:ascii="Arial" w:hAnsi="Arial" w:eastAsia="Arial"/>
          <w:b w:val="0"/>
          <w:i w:val="0"/>
          <w:sz w:val="24"/>
        </w:rPr>
        <w:t>O caráter de baixo custo foi avaliado a partir do valor efetivamente pago pelos componentes do nó. A apuração registrou modelo, quantidade, data da compra e custo total entregue. O custo do protótipo físico foi apresentado separadamente dos recursos de desenvolvimento já disponíveis, como computador, rede local e instrumentos emprestados. Licenças de software gratuitas não foram contabilizadas como despesa de aquisição, para evitar que ausência de licença seja confundida com custo total nulo.</w:t>
      </w:r>
    </w:p>
    <w:p>
      <w:pPr>
        <w:spacing w:before="0" w:after="120" w:line="360" w:lineRule="auto"/>
        <w:ind w:firstLine="709"/>
        <w:jc w:val="both"/>
      </w:pPr>
      <w:r>
        <w:rPr>
          <w:rFonts w:ascii="Arial" w:hAnsi="Arial" w:eastAsia="Arial"/>
          <w:b w:val="0"/>
          <w:i w:val="0"/>
          <w:sz w:val="24"/>
        </w:rPr>
        <w:t>A análise distinguiu o custo da unidade experimental do custo estimado de reprodução. A primeira medida utilizou as despesas reais da compra; a segunda não foi calculada, pois fonte de operação, encapsulamento e lista de materiais de uma unidade implantável não foram definidos. Não foram usados preços atuais de anúncios como se fossem gastos realizados.</w:t>
      </w:r>
    </w:p>
    <w:p>
      <w:pPr>
        <w:spacing w:before="0" w:after="120" w:line="360" w:lineRule="auto"/>
        <w:ind w:firstLine="709"/>
        <w:jc w:val="both"/>
      </w:pPr>
      <w:r>
        <w:rPr>
          <w:rFonts w:ascii="Arial" w:hAnsi="Arial" w:eastAsia="Arial"/>
          <w:b w:val="0"/>
          <w:i w:val="0"/>
          <w:sz w:val="24"/>
        </w:rPr>
        <w:t>Sem custo-alvo ou referencial externo explícito de comparação, “baixo custo” é tratado como característica de projeto sustentada pelo gasto observado, e não como comparação universal de mercado. A conclusão explicita os itens incluídos e excluídos do cálculo.</w:t>
      </w:r>
    </w:p>
    <w:p>
      <w:pPr>
        <w:spacing w:before="0" w:after="120" w:line="360" w:lineRule="auto"/>
        <w:ind w:firstLine="709"/>
        <w:jc w:val="both"/>
      </w:pPr>
      <w:r>
        <w:rPr>
          <w:rFonts w:ascii="Arial" w:hAnsi="Arial" w:eastAsia="Arial"/>
          <w:b w:val="0"/>
          <w:i w:val="0"/>
          <w:sz w:val="24"/>
        </w:rPr>
        <w:t>A reprodutibilidade será examinada pela disponibilidade do código, contrato da API, migrações, versões das dependências, lista de materiais, ligações elétricas confirmadas, parâmetros de configuração, protocolo de testes e scripts de análise. Limitações causadas por placa genérica, ausência de peça reserva, instrumentos de referência e infraestrutura externa serão registradas junto ao custo.</w:t>
      </w:r>
    </w:p>
    <w:p>
      <w:pPr>
        <w:pStyle w:val="Ttulo2"/>
        <w:spacing w:before="120" w:after="120" w:line="360" w:lineRule="auto"/>
        <w:jc w:val="left"/>
      </w:pPr>
      <w:r>
        <w:rPr>
          <w:rFonts w:ascii="Arial" w:hAnsi="Arial" w:eastAsia="Arial"/>
          <w:b/>
          <w:i w:val="0"/>
          <w:sz w:val="24"/>
        </w:rPr>
        <w:t>3.13 Aspectos éticos, privacidade e autorização</w:t>
      </w:r>
    </w:p>
    <w:p>
      <w:pPr>
        <w:spacing w:before="0" w:after="120" w:line="360" w:lineRule="auto"/>
        <w:ind w:firstLine="709"/>
        <w:jc w:val="both"/>
      </w:pPr>
      <w:r>
        <w:rPr>
          <w:rFonts w:ascii="Arial" w:hAnsi="Arial" w:eastAsia="Arial"/>
          <w:b w:val="0"/>
          <w:i w:val="0"/>
          <w:sz w:val="24"/>
        </w:rPr>
        <w:t>O sistema coletará exclusivamente medições ambientais e telemetria operacional do nó. Não haverá identificação de pessoas, captação de imagem ou áudio, contagem de ocupantes ou associação de dados a alunos, docentes ou funcionários. O estudo não pretende avaliar comportamento, desempenho acadêmico ou percepção dos ocupantes.</w:t>
      </w:r>
    </w:p>
    <w:p>
      <w:pPr>
        <w:spacing w:before="0" w:after="120" w:line="360" w:lineRule="auto"/>
        <w:ind w:firstLine="709"/>
        <w:jc w:val="both"/>
      </w:pPr>
      <w:r>
        <w:rPr>
          <w:rFonts w:ascii="Arial" w:hAnsi="Arial" w:eastAsia="Arial"/>
          <w:b w:val="0"/>
          <w:i w:val="0"/>
          <w:sz w:val="24"/>
        </w:rPr>
        <w:t>Apesar de não envolver dados pessoais previstos, a instalação e a coleta na sala dependerão de autorização formal da instituição ou do responsável competente. A autorização, a identificação da sala e as datas serão registradas antes da coleta-piloto. Relatórios públicos ou acadêmicos deverão omitir credenciais, chaves de API, endereços internos de rede e quaisquer informações que possam comprometer a segurança da infraestrutura.</w:t>
      </w:r>
    </w:p>
    <w:p>
      <w:pPr>
        <w:pStyle w:val="Ttulo2"/>
        <w:spacing w:before="120" w:after="120" w:line="360" w:lineRule="auto"/>
        <w:jc w:val="left"/>
      </w:pPr>
      <w:r>
        <w:rPr>
          <w:rFonts w:ascii="Arial" w:hAnsi="Arial" w:eastAsia="Arial"/>
          <w:b/>
          <w:i w:val="0"/>
          <w:sz w:val="24"/>
        </w:rPr>
        <w:t>3.14 Limitações metodológicas</w:t>
      </w:r>
    </w:p>
    <w:p>
      <w:pPr>
        <w:spacing w:before="0" w:after="120" w:line="360" w:lineRule="auto"/>
        <w:ind w:firstLine="709"/>
        <w:jc w:val="both"/>
      </w:pPr>
      <w:r>
        <w:rPr>
          <w:rFonts w:ascii="Arial" w:hAnsi="Arial" w:eastAsia="Arial"/>
          <w:b w:val="0"/>
          <w:i w:val="0"/>
          <w:sz w:val="24"/>
        </w:rPr>
        <w:t>O estudo avaliará uma única sala e um período delimitado, utilizando uma unidade de cada componente inicialmente selecionado. Essa configuração restringe a repetição por hardware e não permite generalização estatística para outras salas ou condições sazonais. A seleção da placa genérica também exige que sua pinagem e funcionamento sejam confirmados na unidade recebida antes de qualquer conclusão sobre o protótipo.</w:t>
      </w:r>
    </w:p>
    <w:p>
      <w:pPr>
        <w:spacing w:before="0" w:after="120" w:line="360" w:lineRule="auto"/>
        <w:ind w:firstLine="709"/>
        <w:jc w:val="both"/>
      </w:pPr>
      <w:r>
        <w:rPr>
          <w:rFonts w:ascii="Arial" w:hAnsi="Arial" w:eastAsia="Arial"/>
          <w:b w:val="0"/>
          <w:i w:val="0"/>
          <w:sz w:val="24"/>
        </w:rPr>
        <w:t>Não houve instrumentos de referência disponíveis para a coleta real (</w:t>
      </w:r>
      <w:r>
        <w:rPr>
          <w:rFonts w:ascii="Arial" w:hAnsi="Arial" w:eastAsia="Arial"/>
          <w:b w:val="0"/>
          <w:i w:val="0"/>
          <w:sz w:val="24"/>
        </w:rPr>
        <w:t>DEC-040</w:t>
      </w:r>
      <w:r>
        <w:rPr>
          <w:rFonts w:ascii="Arial" w:hAnsi="Arial" w:eastAsia="Arial"/>
          <w:b w:val="0"/>
          <w:i w:val="0"/>
          <w:sz w:val="24"/>
        </w:rPr>
        <w:t>). Assim, a validação dos sensores foi exclusivamente funcional: a pesquisa demonstrou inicialização, leituras válidas, continuidade da aquisição e preservação dos dados, sem atribuir precisão metrológica, calibração ou exatidão ao sistema. Parâmetros de alertas ambientais normativos permanecem fora da implementação avaliável até a conferência das normas técnicas originais aplicáveis. As faixas locais de acompanhamento foram avaliadas somente como recurso de software, configurável fora de execução ativa e com histórico imutável para leituras válidas e temporalmente sincronizadas.</w:t>
      </w:r>
    </w:p>
    <w:p>
      <w:r>
        <w:br w:type="page"/>
      </w:r>
    </w:p>
    <w:p>
      <w:pPr>
        <w:pStyle w:val="Ttulo1"/>
        <w:spacing w:before="240" w:after="120" w:line="360" w:lineRule="auto"/>
        <w:jc w:val="left"/>
      </w:pPr>
      <w:r>
        <w:rPr>
          <w:rFonts w:ascii="Arial" w:hAnsi="Arial" w:eastAsia="Arial"/>
          <w:b/>
          <w:i w:val="0"/>
          <w:sz w:val="24"/>
        </w:rPr>
        <w:t>4 Desenvolvimento e implementação</w:t>
      </w:r>
    </w:p>
    <w:p>
      <w:pPr>
        <w:spacing w:before="0" w:after="120" w:line="360" w:lineRule="auto"/>
        <w:ind w:firstLine="709"/>
        <w:jc w:val="both"/>
      </w:pPr>
      <w:r>
        <w:rPr>
          <w:rFonts w:ascii="Arial" w:hAnsi="Arial" w:eastAsia="Arial"/>
          <w:b w:val="0"/>
          <w:i w:val="0"/>
          <w:sz w:val="24"/>
        </w:rPr>
        <w:t>Este capítulo descreve a implementação do sistema até o estágio atual. As funcionalidades de software e a compilação do firmware foram realizadas em ambiente local; a montagem, o upload e a avaliação com os componentes físicos permanecem etapas futuras e não são apresentados como concluídos.</w:t>
      </w:r>
    </w:p>
    <w:p>
      <w:pPr>
        <w:pStyle w:val="Ttulo2"/>
        <w:spacing w:before="120" w:after="120" w:line="360" w:lineRule="auto"/>
        <w:jc w:val="left"/>
      </w:pPr>
      <w:r>
        <w:rPr>
          <w:rFonts w:ascii="Arial" w:hAnsi="Arial" w:eastAsia="Arial"/>
          <w:b/>
          <w:i w:val="0"/>
          <w:sz w:val="24"/>
        </w:rPr>
        <w:t>4.1 Componentes e ferramentas</w:t>
      </w:r>
    </w:p>
    <w:p>
      <w:pPr>
        <w:spacing w:before="0" w:after="120" w:line="360" w:lineRule="auto"/>
        <w:ind w:firstLine="709"/>
        <w:jc w:val="both"/>
      </w:pPr>
      <w:r>
        <w:rPr>
          <w:rFonts w:ascii="Arial" w:hAnsi="Arial" w:eastAsia="Arial"/>
          <w:b w:val="0"/>
          <w:i w:val="0"/>
          <w:sz w:val="24"/>
        </w:rPr>
        <w:t xml:space="preserve">O nó IoT foi projetado para utilizar uma placa de desenvolvimento genérica anunciada como </w:t>
      </w:r>
      <w:r>
        <w:rPr>
          <w:rFonts w:ascii="Arial" w:hAnsi="Arial" w:eastAsia="Arial"/>
          <w:b w:val="0"/>
          <w:i w:val="0"/>
          <w:sz w:val="24"/>
        </w:rPr>
        <w:t>ESP32-WROOM-32D-38P</w:t>
      </w:r>
      <w:r>
        <w:rPr>
          <w:rFonts w:ascii="Arial" w:hAnsi="Arial" w:eastAsia="Arial"/>
          <w:b w:val="0"/>
          <w:i w:val="0"/>
          <w:sz w:val="24"/>
        </w:rPr>
        <w:t>, um módulo anunciado como SHT31 e um módulo anunciado como VEML7700. A programação foi organizada como projeto PlatformIO com framework Arduino. O firmware utiliza ArduinoJson, bibliotecas Adafruit para SHT31 e VEML7700, Preferences, LittleFS, Wi-Fi e HTTPClient.</w:t>
      </w:r>
    </w:p>
    <w:p>
      <w:pPr>
        <w:spacing w:before="0" w:after="120" w:line="360" w:lineRule="auto"/>
        <w:ind w:firstLine="709"/>
        <w:jc w:val="both"/>
      </w:pPr>
      <w:r>
        <w:rPr>
          <w:rFonts w:ascii="Arial" w:hAnsi="Arial" w:eastAsia="Arial"/>
          <w:b w:val="0"/>
          <w:i w:val="0"/>
          <w:sz w:val="24"/>
        </w:rPr>
        <w:t xml:space="preserve">No servidor, a solução utiliza uma aplicação Next.js com TypeScript e App Router. As rotas HTTP são Route Handlers executados em runtime Node.js; a persistência local utiliza MySQL em Docker Compose e o acesso à base é realizado com </w:t>
      </w:r>
      <w:r>
        <w:rPr>
          <w:rFonts w:ascii="Arial" w:hAnsi="Arial" w:eastAsia="Arial"/>
          <w:b w:val="0"/>
          <w:i w:val="0"/>
          <w:sz w:val="24"/>
        </w:rPr>
        <w:t>mysql2</w:t>
      </w:r>
      <w:r>
        <w:rPr>
          <w:rFonts w:ascii="Arial" w:hAnsi="Arial" w:eastAsia="Arial"/>
          <w:b w:val="0"/>
          <w:i w:val="0"/>
          <w:sz w:val="24"/>
        </w:rPr>
        <w:t>. A escolha mantém interface e API no mesmo projeto, reduzindo a quantidade de serviços necessários para o protótipo.</w:t>
      </w:r>
    </w:p>
    <w:p>
      <w:pPr>
        <w:pStyle w:val="Ttulo2"/>
        <w:spacing w:before="120" w:after="120" w:line="360" w:lineRule="auto"/>
        <w:jc w:val="left"/>
      </w:pPr>
      <w:r>
        <w:rPr>
          <w:rFonts w:ascii="Arial" w:hAnsi="Arial" w:eastAsia="Arial"/>
          <w:b/>
          <w:i w:val="0"/>
          <w:sz w:val="24"/>
        </w:rPr>
        <w:t>4.2 Projeto e montagem do hardware</w:t>
      </w:r>
    </w:p>
    <w:p>
      <w:pPr>
        <w:spacing w:before="0" w:after="120" w:line="360" w:lineRule="auto"/>
        <w:ind w:firstLine="709"/>
        <w:jc w:val="both"/>
      </w:pPr>
      <w:r>
        <w:rPr>
          <w:rFonts w:ascii="Arial" w:hAnsi="Arial" w:eastAsia="Arial"/>
          <w:b w:val="0"/>
          <w:i w:val="0"/>
          <w:sz w:val="24"/>
        </w:rPr>
        <w:t>Os módulos serão conectados por I2C, com alimentação em 3,3 V e GND comum. A definição dos GPIOs de SDA e SCL foi mantida fora do código versionado porque a placa é genérica e sua serigrafia deverá ser conferida na unidade recebida. Também deverão ser confirmados o endereço do SHT31, a tensão aceita pelos módulos, a porta serial e a estabilidade do cabo USB antes da primeira energização.</w:t>
      </w:r>
    </w:p>
    <w:p>
      <w:pPr>
        <w:spacing w:before="0" w:after="120" w:line="360" w:lineRule="auto"/>
        <w:ind w:firstLine="709"/>
        <w:jc w:val="both"/>
      </w:pPr>
      <w:r>
        <w:rPr>
          <w:rFonts w:ascii="Arial" w:hAnsi="Arial" w:eastAsia="Arial"/>
          <w:b w:val="0"/>
          <w:i w:val="0"/>
          <w:sz w:val="24"/>
        </w:rPr>
        <w:t xml:space="preserve">Foram preparados uma checklist, um registro preenchível da primeira montagem e um script de pré-verificação. O script exige configuração local, rejeita valores de exemplo, impede o uso de </w:t>
      </w:r>
      <w:r>
        <w:rPr>
          <w:rFonts w:ascii="Arial" w:hAnsi="Arial" w:eastAsia="Arial"/>
          <w:b w:val="0"/>
          <w:i w:val="0"/>
          <w:sz w:val="24"/>
        </w:rPr>
        <w:t>localhost</w:t>
      </w:r>
      <w:r>
        <w:rPr>
          <w:rFonts w:ascii="Arial" w:hAnsi="Arial" w:eastAsia="Arial"/>
          <w:b w:val="0"/>
          <w:i w:val="0"/>
          <w:sz w:val="24"/>
        </w:rPr>
        <w:t xml:space="preserve"> como endereço da API pelo ESP32 e confere GPIOs distintos antes de compilar ou enviar o firmware. A montagem física, as fotos, as ligações efetivas e o teste de inicialização serão registrados apenas após o recebimento dos componentes.</w:t>
      </w:r>
    </w:p>
    <w:p>
      <w:pPr>
        <w:pStyle w:val="Ttulo2"/>
        <w:spacing w:before="120" w:after="120" w:line="360" w:lineRule="auto"/>
        <w:jc w:val="left"/>
      </w:pPr>
      <w:r>
        <w:rPr>
          <w:rFonts w:ascii="Arial" w:hAnsi="Arial" w:eastAsia="Arial"/>
          <w:b/>
          <w:i w:val="0"/>
          <w:sz w:val="24"/>
        </w:rPr>
        <w:t>4.3 Firmware do nó IoT</w:t>
      </w:r>
    </w:p>
    <w:p>
      <w:pPr>
        <w:spacing w:before="0" w:after="120" w:line="360" w:lineRule="auto"/>
        <w:ind w:firstLine="709"/>
        <w:jc w:val="both"/>
      </w:pPr>
      <w:r>
        <w:rPr>
          <w:rFonts w:ascii="Arial" w:hAnsi="Arial" w:eastAsia="Arial"/>
          <w:b w:val="0"/>
          <w:i w:val="0"/>
          <w:sz w:val="24"/>
        </w:rPr>
        <w:t>O firmware foi implementado para obter temperatura, umidade relativa e iluminância, atribuir identificadores UUID de inicialização e medição, manter número de sequência persistente e registrar timestamps UTC quando houver sincronização NTP. Cada leitura contém valores e estados de qualidade; falhas de leitura e valores fora da faixa física são preservados como estados técnicos, não convertidos em valores estimados.</w:t>
      </w:r>
    </w:p>
    <w:p>
      <w:pPr>
        <w:spacing w:before="0" w:after="120" w:line="360" w:lineRule="auto"/>
        <w:ind w:firstLine="709"/>
        <w:jc w:val="both"/>
      </w:pPr>
      <w:r>
        <w:rPr>
          <w:rFonts w:ascii="Arial" w:hAnsi="Arial" w:eastAsia="Arial"/>
          <w:b w:val="0"/>
          <w:i w:val="0"/>
          <w:sz w:val="24"/>
        </w:rPr>
        <w:t xml:space="preserve">As medições não confirmadas são armazenadas em uma fila LittleFS persistente e ordenada, limitada a 256 registros. A fila somente remove uma medição após a API responder </w:t>
      </w:r>
      <w:r>
        <w:rPr>
          <w:rFonts w:ascii="Arial" w:hAnsi="Arial" w:eastAsia="Arial"/>
          <w:b w:val="0"/>
          <w:i w:val="0"/>
          <w:sz w:val="24"/>
        </w:rPr>
        <w:t>STORED</w:t>
      </w:r>
      <w:r>
        <w:rPr>
          <w:rFonts w:ascii="Arial" w:hAnsi="Arial" w:eastAsia="Arial"/>
          <w:b w:val="0"/>
          <w:i w:val="0"/>
          <w:sz w:val="24"/>
        </w:rPr>
        <w:t xml:space="preserve"> ou </w:t>
      </w:r>
      <w:r>
        <w:rPr>
          <w:rFonts w:ascii="Arial" w:hAnsi="Arial" w:eastAsia="Arial"/>
          <w:b w:val="0"/>
          <w:i w:val="0"/>
          <w:sz w:val="24"/>
        </w:rPr>
        <w:t>ALREADY_STORED</w:t>
      </w:r>
      <w:r>
        <w:rPr>
          <w:rFonts w:ascii="Arial" w:hAnsi="Arial" w:eastAsia="Arial"/>
          <w:b w:val="0"/>
          <w:i w:val="0"/>
          <w:sz w:val="24"/>
        </w:rPr>
        <w:t>. Em indisponibilidade de Wi-Fi ou API, a aquisição continua e os registros são reenviados do mais antigo ao mais recente após a reconexão. Caso a capacidade seja atingida, os itens pendentes são preservados e novas perdas são contabilizadas explicitamente.</w:t>
      </w:r>
    </w:p>
    <w:p>
      <w:pPr>
        <w:spacing w:before="0" w:after="120" w:line="360" w:lineRule="auto"/>
        <w:ind w:firstLine="709"/>
        <w:jc w:val="both"/>
      </w:pPr>
      <w:r>
        <w:rPr>
          <w:rFonts w:ascii="Arial" w:hAnsi="Arial" w:eastAsia="Arial"/>
          <w:b w:val="0"/>
          <w:i w:val="0"/>
          <w:sz w:val="24"/>
        </w:rPr>
        <w:t xml:space="preserve">O nó também consulta a configuração remota do intervalo, persiste a última configuração válida e confirma sua aplicação ou rejeição. Sua telemetria informa conexão, ocupação da fila, perdas, sinal Wi-Fi, sincronização temporal e estado dos sensores. O firmware foi configurado, compilado e gravado com sucesso para o ambiente genérico </w:t>
      </w:r>
      <w:r>
        <w:rPr>
          <w:rFonts w:ascii="Arial" w:hAnsi="Arial" w:eastAsia="Arial"/>
          <w:b w:val="0"/>
          <w:i w:val="0"/>
          <w:sz w:val="24"/>
        </w:rPr>
        <w:t>esp32dev</w:t>
      </w:r>
      <w:r>
        <w:rPr>
          <w:rFonts w:ascii="Arial" w:hAnsi="Arial" w:eastAsia="Arial"/>
          <w:b w:val="0"/>
          <w:i w:val="0"/>
          <w:sz w:val="24"/>
        </w:rPr>
        <w:t>, sendo utilizado nas sessões formais. Essa evidência confirma o funcionamento operacional observado do protótipo, mas não substitui uma caracterização elétrica ou metrológica das unidades comerciais.</w:t>
      </w:r>
    </w:p>
    <w:p>
      <w:pPr>
        <w:pStyle w:val="Ttulo2"/>
        <w:spacing w:before="120" w:after="120" w:line="360" w:lineRule="auto"/>
        <w:jc w:val="left"/>
      </w:pPr>
      <w:r>
        <w:rPr>
          <w:rFonts w:ascii="Arial" w:hAnsi="Arial" w:eastAsia="Arial"/>
          <w:b/>
          <w:i w:val="0"/>
          <w:sz w:val="24"/>
        </w:rPr>
        <w:t>4.4 Comunicação HTTP e formato das mensagens</w:t>
      </w:r>
    </w:p>
    <w:p>
      <w:pPr>
        <w:spacing w:before="0" w:after="120" w:line="360" w:lineRule="auto"/>
        <w:ind w:firstLine="709"/>
        <w:jc w:val="both"/>
      </w:pPr>
      <w:r>
        <w:rPr>
          <w:rFonts w:ascii="Arial" w:hAnsi="Arial" w:eastAsia="Arial"/>
          <w:b w:val="0"/>
          <w:i w:val="0"/>
          <w:sz w:val="24"/>
        </w:rPr>
        <w:t xml:space="preserve">A comunicação utiliza JSON em UTF-8 pela base </w:t>
      </w:r>
      <w:r>
        <w:rPr>
          <w:rFonts w:ascii="Arial" w:hAnsi="Arial" w:eastAsia="Arial"/>
          <w:b w:val="0"/>
          <w:i w:val="0"/>
          <w:sz w:val="24"/>
        </w:rPr>
        <w:t>/api/v1</w:t>
      </w:r>
      <w:r>
        <w:rPr>
          <w:rFonts w:ascii="Arial" w:hAnsi="Arial" w:eastAsia="Arial"/>
          <w:b w:val="0"/>
          <w:i w:val="0"/>
          <w:sz w:val="24"/>
        </w:rPr>
        <w:t>. Cada mensagem de medição contém a versão do esquema, identificador da medição, dispositivo, inicialização, sequência, execução experimental quando existente, versão da configuração, instante de leitura, tempo de atividade, sincronização temporal e as três leituras. A entrega informa se o envio é online ou reenviado, instante de envio, ocupação da fila e perdas acumuladas.</w:t>
      </w:r>
    </w:p>
    <w:p>
      <w:pPr>
        <w:spacing w:before="0" w:after="120" w:line="360" w:lineRule="auto"/>
        <w:ind w:firstLine="709"/>
        <w:jc w:val="both"/>
      </w:pPr>
      <w:r>
        <w:rPr>
          <w:rFonts w:ascii="Arial" w:hAnsi="Arial" w:eastAsia="Arial"/>
          <w:b w:val="0"/>
          <w:i w:val="0"/>
          <w:sz w:val="24"/>
        </w:rPr>
        <w:t>O contrato trata a medição como imutável. A API calcula um hash do conteúdo canônico; um reenvio com o mesmo identificador e conteúdo recebe confirmação idempotente, enquanto o mesmo identificador com conteúdo diferente gera conflito de integridade. Essa regra permite que o firmware repita a tentativa após uma falha de rede sem criar uma segunda medição no banco.</w:t>
      </w:r>
    </w:p>
    <w:p>
      <w:pPr>
        <w:pStyle w:val="Ttulo2"/>
        <w:spacing w:before="120" w:after="120" w:line="360" w:lineRule="auto"/>
        <w:jc w:val="left"/>
      </w:pPr>
      <w:r>
        <w:rPr>
          <w:rFonts w:ascii="Arial" w:hAnsi="Arial" w:eastAsia="Arial"/>
          <w:b/>
          <w:i w:val="0"/>
          <w:sz w:val="24"/>
        </w:rPr>
        <w:t>4.5 API</w:t>
      </w:r>
    </w:p>
    <w:p>
      <w:pPr>
        <w:spacing w:before="0" w:after="120" w:line="360" w:lineRule="auto"/>
        <w:ind w:firstLine="709"/>
        <w:jc w:val="both"/>
      </w:pPr>
      <w:r>
        <w:rPr>
          <w:rFonts w:ascii="Arial" w:hAnsi="Arial" w:eastAsia="Arial"/>
          <w:b w:val="0"/>
          <w:i w:val="0"/>
          <w:sz w:val="24"/>
        </w:rPr>
        <w:t>Foram implementadas rotas de saúde, ingestão, consulta paginada de medições, consulta e alteração de configuração, confirmação da configuração pelo nó e recebimento do estado operacional. A ingestão valida autenticação Bearer provisória, conteúdo JSON, tamanho do payload, esquema, referências e estados técnicos antes de iniciar a persistência transacional. As respostas distinguem armazenamento novo, reenvio já armazenado, conflito de integridade, erro de validação, falha de autenticação e indisponibilidade do servidor.</w:t>
      </w:r>
    </w:p>
    <w:p>
      <w:pPr>
        <w:spacing w:before="0" w:after="120" w:line="360" w:lineRule="auto"/>
        <w:ind w:firstLine="709"/>
        <w:jc w:val="both"/>
      </w:pPr>
      <w:r>
        <w:rPr>
          <w:rFonts w:ascii="Arial" w:hAnsi="Arial" w:eastAsia="Arial"/>
          <w:b w:val="0"/>
          <w:i w:val="0"/>
          <w:sz w:val="24"/>
        </w:rPr>
        <w:t>A consulta administrativa aplica filtros temporais semiabertos, ordenação determinística e paginação por cursor. A configuração aceita somente intervalos inteiros entre 10 e 300 segundos, mantém versões pendentes e aplicadas e bloqueia alterações durante uma execução experimental ativa. A API também recebe telemetria do nó para que fila, perdas, conexão e sincronização possam ser exibidas sem inferências a partir dos valores ambientais.</w:t>
      </w:r>
    </w:p>
    <w:p>
      <w:pPr>
        <w:spacing w:before="0" w:after="120" w:line="360" w:lineRule="auto"/>
        <w:ind w:firstLine="709"/>
        <w:jc w:val="both"/>
      </w:pPr>
      <w:r>
        <w:rPr>
          <w:rFonts w:ascii="Arial" w:hAnsi="Arial" w:eastAsia="Arial"/>
          <w:b w:val="0"/>
          <w:i w:val="0"/>
          <w:sz w:val="24"/>
        </w:rPr>
        <w:t>O mecanismo atual de autenticação utiliza chaves compartilhadas de desenvolvimento para nó e administração. A vinculação definitiva de credenciais, hospedagem externa, TLS e gestão de segredos permanecem pendentes; portanto, não são considerados resultados de segurança do protótipo.</w:t>
      </w:r>
    </w:p>
    <w:p>
      <w:pPr>
        <w:pStyle w:val="Ttulo2"/>
        <w:spacing w:before="120" w:after="120" w:line="360" w:lineRule="auto"/>
        <w:jc w:val="left"/>
      </w:pPr>
      <w:r>
        <w:rPr>
          <w:rFonts w:ascii="Arial" w:hAnsi="Arial" w:eastAsia="Arial"/>
          <w:b/>
          <w:i w:val="0"/>
          <w:sz w:val="24"/>
        </w:rPr>
        <w:t>4.6 Banco de dados MySQL</w:t>
      </w:r>
    </w:p>
    <w:p>
      <w:pPr>
        <w:spacing w:before="0" w:after="120" w:line="360" w:lineRule="auto"/>
        <w:ind w:firstLine="709"/>
        <w:jc w:val="both"/>
      </w:pPr>
      <w:r>
        <w:rPr>
          <w:rFonts w:ascii="Arial" w:hAnsi="Arial" w:eastAsia="Arial"/>
          <w:b w:val="0"/>
          <w:i w:val="0"/>
          <w:sz w:val="24"/>
        </w:rPr>
        <w:t xml:space="preserve">O ambiente de desenvolvimento utiliza MySQL local em Docker Compose, com volume persistente e acesso publicado somente em </w:t>
      </w:r>
      <w:r>
        <w:rPr>
          <w:rFonts w:ascii="Arial" w:hAnsi="Arial" w:eastAsia="Arial"/>
          <w:b w:val="0"/>
          <w:i w:val="0"/>
          <w:sz w:val="24"/>
        </w:rPr>
        <w:t>127.0.0.1</w:t>
      </w:r>
      <w:r>
        <w:rPr>
          <w:rFonts w:ascii="Arial" w:hAnsi="Arial" w:eastAsia="Arial"/>
          <w:b w:val="0"/>
          <w:i w:val="0"/>
          <w:sz w:val="24"/>
        </w:rPr>
        <w:t>. O esquema é aplicado por migrações SQL versionadas, registradas com checksum, evitando alteração silenciosa de uma migração já aplicada. Um seed idempotente mantém o dispositivo e a configuração necessários aos testes locais.</w:t>
      </w:r>
    </w:p>
    <w:p>
      <w:pPr>
        <w:spacing w:before="0" w:after="120" w:line="360" w:lineRule="auto"/>
        <w:ind w:firstLine="709"/>
        <w:jc w:val="both"/>
      </w:pPr>
      <w:r>
        <w:rPr>
          <w:rFonts w:ascii="Arial" w:hAnsi="Arial" w:eastAsia="Arial"/>
          <w:b w:val="0"/>
          <w:i w:val="0"/>
          <w:sz w:val="24"/>
        </w:rPr>
        <w:t xml:space="preserve">O modelo separa medições canônicas, tentativas de entrega, configurações e estados operacionais. A chave primária da medição e a restrição composta por dispositivo, inicialização e sequência impedem duplicações canônicas. As tentativas de entrega ficam registradas como </w:t>
      </w:r>
      <w:r>
        <w:rPr>
          <w:rFonts w:ascii="Arial" w:hAnsi="Arial" w:eastAsia="Arial"/>
          <w:b w:val="0"/>
          <w:i w:val="0"/>
          <w:sz w:val="24"/>
        </w:rPr>
        <w:t>STORED</w:t>
      </w:r>
      <w:r>
        <w:rPr>
          <w:rFonts w:ascii="Arial" w:hAnsi="Arial" w:eastAsia="Arial"/>
          <w:b w:val="0"/>
          <w:i w:val="0"/>
          <w:sz w:val="24"/>
        </w:rPr>
        <w:t xml:space="preserve">, </w:t>
      </w:r>
      <w:r>
        <w:rPr>
          <w:rFonts w:ascii="Arial" w:hAnsi="Arial" w:eastAsia="Arial"/>
          <w:b w:val="0"/>
          <w:i w:val="0"/>
          <w:sz w:val="24"/>
        </w:rPr>
        <w:t>ALREADY_STORED</w:t>
      </w:r>
      <w:r>
        <w:rPr>
          <w:rFonts w:ascii="Arial" w:hAnsi="Arial" w:eastAsia="Arial"/>
          <w:b w:val="0"/>
          <w:i w:val="0"/>
          <w:sz w:val="24"/>
        </w:rPr>
        <w:t xml:space="preserve"> ou </w:t>
      </w:r>
      <w:r>
        <w:rPr>
          <w:rFonts w:ascii="Arial" w:hAnsi="Arial" w:eastAsia="Arial"/>
          <w:b w:val="0"/>
          <w:i w:val="0"/>
          <w:sz w:val="24"/>
        </w:rPr>
        <w:t>INTEGRITY_CONFLICT</w:t>
      </w:r>
      <w:r>
        <w:rPr>
          <w:rFonts w:ascii="Arial" w:hAnsi="Arial" w:eastAsia="Arial"/>
          <w:b w:val="0"/>
          <w:i w:val="0"/>
          <w:sz w:val="24"/>
        </w:rPr>
        <w:t>, permitindo reconciliar reenvios sem confundir repetição de transporte com uma nova observação ambiental.</w:t>
      </w:r>
    </w:p>
    <w:p>
      <w:pPr>
        <w:pStyle w:val="Ttulo2"/>
        <w:spacing w:before="120" w:after="120" w:line="360" w:lineRule="auto"/>
        <w:jc w:val="left"/>
      </w:pPr>
      <w:r>
        <w:rPr>
          <w:rFonts w:ascii="Arial" w:hAnsi="Arial" w:eastAsia="Arial"/>
          <w:b/>
          <w:i w:val="0"/>
          <w:sz w:val="24"/>
        </w:rPr>
        <w:t>4.7 Aplicação web</w:t>
      </w:r>
    </w:p>
    <w:p>
      <w:pPr>
        <w:spacing w:before="0" w:after="120" w:line="360" w:lineRule="auto"/>
        <w:ind w:firstLine="709"/>
        <w:jc w:val="both"/>
      </w:pPr>
      <w:r>
        <w:rPr>
          <w:rFonts w:ascii="Arial" w:hAnsi="Arial" w:eastAsia="Arial"/>
          <w:b w:val="0"/>
          <w:i w:val="0"/>
          <w:sz w:val="24"/>
        </w:rPr>
        <w:t xml:space="preserve">A interface web e a API pertencem à mesma aplicação Next.js. As páginas executadas no servidor consultam o MySQL por meio de módulos de repositório, sem realizar chamadas HTTP internas à própria API. Dessa forma, </w:t>
      </w:r>
      <w:r>
        <w:rPr>
          <w:rFonts w:ascii="Arial" w:hAnsi="Arial" w:eastAsia="Arial"/>
          <w:b w:val="0"/>
          <w:i w:val="0"/>
          <w:sz w:val="24"/>
        </w:rPr>
        <w:t>DATABASE_URL</w:t>
      </w:r>
      <w:r>
        <w:rPr>
          <w:rFonts w:ascii="Arial" w:hAnsi="Arial" w:eastAsia="Arial"/>
          <w:b w:val="0"/>
          <w:i w:val="0"/>
          <w:sz w:val="24"/>
        </w:rPr>
        <w:t xml:space="preserve"> e a chave administrativa não são enviados ao navegador. Um componente de cliente solicita atualização periódica da renderização, mas não acessa diretamente a base de dados.</w:t>
      </w:r>
    </w:p>
    <w:p>
      <w:pPr>
        <w:spacing w:before="0" w:after="120" w:line="360" w:lineRule="auto"/>
        <w:ind w:firstLine="709"/>
        <w:jc w:val="both"/>
      </w:pPr>
      <w:r>
        <w:rPr>
          <w:rFonts w:ascii="Arial" w:hAnsi="Arial" w:eastAsia="Arial"/>
          <w:b w:val="0"/>
          <w:i w:val="0"/>
          <w:sz w:val="24"/>
        </w:rPr>
        <w:t>A aplicação trata explicitamente banco não configurado ou indisponível, ausência de dispositivo, medições vazias e ausência de telemetria operacional. Esses estados não são preenchidos com dados simulados e não constituem evidência experimental. A demonstração visual existente utiliza registros artificiais somente em ambiente local controlado e os remove após o encerramento.</w:t>
      </w:r>
    </w:p>
    <w:p>
      <w:pPr>
        <w:pStyle w:val="Ttulo2"/>
        <w:spacing w:before="120" w:after="120" w:line="360" w:lineRule="auto"/>
        <w:jc w:val="left"/>
      </w:pPr>
      <w:r>
        <w:rPr>
          <w:rFonts w:ascii="Arial" w:hAnsi="Arial" w:eastAsia="Arial"/>
          <w:b/>
          <w:i w:val="0"/>
          <w:sz w:val="24"/>
        </w:rPr>
        <w:t>4.8 Dashboard e histórico</w:t>
      </w:r>
    </w:p>
    <w:p>
      <w:pPr>
        <w:spacing w:before="0" w:after="120" w:line="360" w:lineRule="auto"/>
        <w:ind w:firstLine="709"/>
        <w:jc w:val="both"/>
      </w:pPr>
      <w:r>
        <w:rPr>
          <w:rFonts w:ascii="Arial" w:hAnsi="Arial" w:eastAsia="Arial"/>
          <w:b w:val="0"/>
          <w:i w:val="0"/>
          <w:sz w:val="24"/>
        </w:rPr>
        <w:t>O dashboard apresenta o último valor válido de temperatura, umidade relativa e iluminância, sempre acompanhado do instante de medição. O histórico utiliza registros recentes e representa leituras inválidas ou ausentes como lacunas, sem interpolação. O painel operacional mostra versão do firmware, conexão declarada, sincronização temporal, ocupação da fila, advertência a partir de 80% da capacidade, perdas acumuladas e último envio confirmado.</w:t>
      </w:r>
    </w:p>
    <w:p>
      <w:pPr>
        <w:spacing w:before="0" w:after="120" w:line="360" w:lineRule="auto"/>
        <w:ind w:firstLine="709"/>
        <w:jc w:val="both"/>
      </w:pPr>
      <w:r>
        <w:rPr>
          <w:rFonts w:ascii="Arial" w:hAnsi="Arial" w:eastAsia="Arial"/>
          <w:b w:val="0"/>
          <w:i w:val="0"/>
          <w:sz w:val="24"/>
        </w:rPr>
        <w:t>Também são exibidos totais de entregas confirmadas ou rejeitadas e a configuração de intervalo pendente ou aplicada. O painel organiza as informações para inspeção técnica e futura investigação, mas não classifica a sala como adequada ou inadequada. Alertas locais, quando houver, são apresentados em página própria como registros de faixa local e não como alertas normativos.</w:t>
      </w:r>
    </w:p>
    <w:p>
      <w:pPr>
        <w:pStyle w:val="Ttulo2"/>
        <w:spacing w:before="120" w:after="120" w:line="360" w:lineRule="auto"/>
        <w:jc w:val="left"/>
      </w:pPr>
      <w:r>
        <w:rPr>
          <w:rFonts w:ascii="Arial" w:hAnsi="Arial" w:eastAsia="Arial"/>
          <w:b/>
          <w:i w:val="0"/>
          <w:sz w:val="24"/>
        </w:rPr>
        <w:t>4.9 Relatórios</w:t>
      </w:r>
    </w:p>
    <w:p>
      <w:pPr>
        <w:spacing w:before="0" w:after="120" w:line="360" w:lineRule="auto"/>
        <w:ind w:firstLine="709"/>
        <w:jc w:val="both"/>
      </w:pPr>
      <w:r>
        <w:rPr>
          <w:rFonts w:ascii="Arial" w:hAnsi="Arial" w:eastAsia="Arial"/>
          <w:b w:val="0"/>
          <w:i w:val="0"/>
          <w:sz w:val="24"/>
        </w:rPr>
        <w:t>A página de relatórios oferece filtro de datas inclusivo no fuso de São Paulo, limitado a 31 dias por consulta. Para cada variável, calcula mínimo, média e máximo somente sobre leituras válidas, além de apresentar totais de registros, leituras válidas e inválidas, sincronização temporal e sinalizações técnicas. O histórico tabular preserva identificador, instante, valores e estados de qualidade.</w:t>
      </w:r>
    </w:p>
    <w:p>
      <w:pPr>
        <w:spacing w:before="0" w:after="120" w:line="360" w:lineRule="auto"/>
        <w:ind w:firstLine="709"/>
        <w:jc w:val="both"/>
      </w:pPr>
      <w:r>
        <w:rPr>
          <w:rFonts w:ascii="Arial" w:hAnsi="Arial" w:eastAsia="Arial"/>
          <w:b w:val="0"/>
          <w:i w:val="0"/>
          <w:sz w:val="24"/>
        </w:rPr>
        <w:t>A rota de exportação produz CSV UTF-8 separado por ponto e vírgula, limitado a 5.000 registros e contendo os estados técnicos necessários à análise posterior. Ausências temporais somente serão calculadas em execuções formalmente delimitadas, nas quais exista uma grade esperada a partir do intervalo configurado. O relatório permanece descritivo e não aplica critérios ambientais normativos.</w:t>
      </w:r>
    </w:p>
    <w:p>
      <w:pPr>
        <w:pStyle w:val="Ttulo2"/>
        <w:spacing w:before="120" w:after="120" w:line="360" w:lineRule="auto"/>
        <w:jc w:val="left"/>
      </w:pPr>
      <w:r>
        <w:rPr>
          <w:rFonts w:ascii="Arial" w:hAnsi="Arial" w:eastAsia="Arial"/>
          <w:b/>
          <w:i w:val="0"/>
          <w:sz w:val="24"/>
        </w:rPr>
        <w:t>4.10 Alertas</w:t>
      </w:r>
    </w:p>
    <w:p>
      <w:pPr>
        <w:spacing w:before="0" w:after="120" w:line="360" w:lineRule="auto"/>
        <w:ind w:firstLine="709"/>
        <w:jc w:val="both"/>
      </w:pPr>
      <w:r>
        <w:rPr>
          <w:rFonts w:ascii="Arial" w:hAnsi="Arial" w:eastAsia="Arial"/>
          <w:b w:val="0"/>
          <w:i w:val="0"/>
          <w:sz w:val="24"/>
        </w:rPr>
        <w:t>Não foram implementados alertas ambientais normativos. Em seu lugar, a aplicação possui um perfil de faixas locais, inicialmente desabilitado, que registra responsável informado, justificativa, referência de origem opcional, instante de vigência e versão. A alteração é bloqueada durante execução experimental ativa. Para cada leitura persistida pela primeira vez, somente valores válidos e temporalmente sincronizados podem gerar um alerta local; o registro preserva horário, variável, direção, valor observado, limites e versão da faixa vigente. A página exclusiva de alertas permite consultar esses registros no período selecionado com destaque avermelhado suave. Esse recurso não emite notificação externa, não recomenda intervenção e não classifica a sala quanto a conforto ou conformidade.</w:t>
      </w:r>
    </w:p>
    <w:p>
      <w:pPr>
        <w:pStyle w:val="Ttulo2"/>
        <w:spacing w:before="120" w:after="120" w:line="360" w:lineRule="auto"/>
        <w:jc w:val="left"/>
      </w:pPr>
      <w:r>
        <w:rPr>
          <w:rFonts w:ascii="Arial" w:hAnsi="Arial" w:eastAsia="Arial"/>
          <w:b/>
          <w:i w:val="0"/>
          <w:sz w:val="24"/>
        </w:rPr>
        <w:t>4.11 Segurança, confiabilidade e recuperação de falhas</w:t>
      </w:r>
    </w:p>
    <w:p>
      <w:pPr>
        <w:spacing w:before="0" w:after="120" w:line="360" w:lineRule="auto"/>
        <w:ind w:firstLine="709"/>
        <w:jc w:val="both"/>
      </w:pPr>
      <w:r>
        <w:rPr>
          <w:rFonts w:ascii="Arial" w:hAnsi="Arial" w:eastAsia="Arial"/>
          <w:b w:val="0"/>
          <w:i w:val="0"/>
          <w:sz w:val="24"/>
        </w:rPr>
        <w:t>A confiabilidade foi incorporada desde a estrutura dos registros: identificadores únicos, confirmação idempotente, fila persistente, rastreamento de perdas, configuração versionada e telemetria operacional. A cadeia distingue falha de leitura, registro fora da faixa, perda por fila cheia, duplicata, reenvio e instante sem sincronização. Isso permite analisar falhas sem alterar a medição canônica ou esconder lacunas.</w:t>
      </w:r>
    </w:p>
    <w:p>
      <w:pPr>
        <w:spacing w:before="0" w:after="120" w:line="360" w:lineRule="auto"/>
        <w:ind w:firstLine="709"/>
        <w:jc w:val="both"/>
      </w:pPr>
      <w:r>
        <w:rPr>
          <w:rFonts w:ascii="Arial" w:hAnsi="Arial" w:eastAsia="Arial"/>
          <w:b w:val="0"/>
          <w:i w:val="0"/>
          <w:sz w:val="24"/>
        </w:rPr>
        <w:t xml:space="preserve">O motor de tratamento de dados opera sobre uma execução delimitada e não modifica sua entrada. Ele gera grade temporal, categorias primárias, posições </w:t>
      </w:r>
      <w:r>
        <w:rPr>
          <w:rFonts w:ascii="Arial" w:hAnsi="Arial" w:eastAsia="Arial"/>
          <w:b w:val="0"/>
          <w:i w:val="0"/>
          <w:sz w:val="24"/>
        </w:rPr>
        <w:t>MISSING_SLOT</w:t>
      </w:r>
      <w:r>
        <w:rPr>
          <w:rFonts w:ascii="Arial" w:hAnsi="Arial" w:eastAsia="Arial"/>
          <w:b w:val="0"/>
          <w:i w:val="0"/>
          <w:sz w:val="24"/>
        </w:rPr>
        <w:t>, reconciliação de contagens e exclusões auditáveis, sem imputação. Os testes locais da API, banco, dashboard e tratamento de dados produzem evidências da implementação de software. A verificação completa de recuperação após interrupções, latência ponta a ponta e disponibilidade dependerá da execução do firmware na montagem física e na rede do ambiente de estudo.</w:t>
      </w:r>
    </w:p>
    <w:p>
      <w:r>
        <w:br w:type="page"/>
      </w:r>
    </w:p>
    <w:p>
      <w:pPr>
        <w:pStyle w:val="Ttulo1"/>
        <w:spacing w:before="240" w:after="120" w:line="360" w:lineRule="auto"/>
        <w:jc w:val="left"/>
      </w:pPr>
      <w:r>
        <w:rPr>
          <w:rFonts w:ascii="Arial" w:hAnsi="Arial" w:eastAsia="Arial"/>
          <w:b/>
          <w:i w:val="0"/>
          <w:sz w:val="24"/>
        </w:rPr>
        <w:t>5 Testes, resultados e discussão</w:t>
      </w:r>
    </w:p>
    <w:p>
      <w:pPr>
        <w:spacing w:before="0" w:after="120" w:line="360" w:lineRule="auto"/>
        <w:ind w:firstLine="709"/>
        <w:jc w:val="both"/>
      </w:pPr>
      <w:r>
        <w:rPr>
          <w:rFonts w:ascii="Arial" w:hAnsi="Arial" w:eastAsia="Arial"/>
          <w:b w:val="0"/>
          <w:i w:val="0"/>
          <w:sz w:val="24"/>
        </w:rPr>
        <w:t>Este capítulo apresenta as evidências efetivamente observadas na implementação e na avaliação técnica do sistema. Os resultados ambientais não são usados para caracterizar o local de trabalho onde ocorreram as sessões formais, nem para afirmar conforto, conformidade normativa, aprendizagem ou utilidade gerencial.</w:t>
      </w:r>
    </w:p>
    <w:p>
      <w:pPr>
        <w:pStyle w:val="Ttulo2"/>
        <w:spacing w:before="120" w:after="120" w:line="360" w:lineRule="auto"/>
        <w:jc w:val="left"/>
      </w:pPr>
      <w:r>
        <w:rPr>
          <w:rFonts w:ascii="Arial" w:hAnsi="Arial" w:eastAsia="Arial"/>
          <w:b/>
          <w:i w:val="0"/>
          <w:sz w:val="24"/>
        </w:rPr>
        <w:t>5.1 Rastreabilidade da análise</w:t>
      </w:r>
    </w:p>
    <w:p>
      <w:pPr>
        <w:spacing w:before="0" w:after="120" w:line="360" w:lineRule="auto"/>
        <w:ind w:firstLine="709"/>
        <w:jc w:val="both"/>
      </w:pPr>
      <w:r>
        <w:rPr>
          <w:rFonts w:ascii="Arial" w:hAnsi="Arial" w:eastAsia="Arial"/>
          <w:b w:val="0"/>
          <w:i w:val="0"/>
          <w:sz w:val="24"/>
        </w:rPr>
        <w:t xml:space="preserve">As três sessões formais de estabilidade operacional foram executadas em 19, 20 e 21 de outubro de 2026, com o nó </w:t>
      </w:r>
      <w:r>
        <w:rPr>
          <w:rFonts w:ascii="Arial" w:hAnsi="Arial" w:eastAsia="Arial"/>
          <w:b w:val="0"/>
          <w:i w:val="0"/>
          <w:sz w:val="24"/>
        </w:rPr>
        <w:t>classroom-node-physical-01</w:t>
      </w:r>
      <w:r>
        <w:rPr>
          <w:rFonts w:ascii="Arial" w:hAnsi="Arial" w:eastAsia="Arial"/>
          <w:b w:val="0"/>
          <w:i w:val="0"/>
          <w:sz w:val="24"/>
        </w:rPr>
        <w:t xml:space="preserve">, firmware 0.1.2, configuração aplicada de 60 s e </w:t>
      </w:r>
      <w:r>
        <w:rPr>
          <w:rFonts w:ascii="Arial" w:hAnsi="Arial" w:eastAsia="Arial"/>
          <w:b w:val="0"/>
          <w:i w:val="0"/>
          <w:sz w:val="24"/>
        </w:rPr>
        <w:t>run_id</w:t>
      </w:r>
      <w:r>
        <w:rPr>
          <w:rFonts w:ascii="Arial" w:hAnsi="Arial" w:eastAsia="Arial"/>
          <w:b w:val="0"/>
          <w:i w:val="0"/>
          <w:sz w:val="24"/>
        </w:rPr>
        <w:t xml:space="preserve"> exclusivo por sessão. A exportação somente leitura do MySQL foi preservada em os artefatos digitais do projeto, com SHA-256 </w:t>
      </w:r>
      <w:r>
        <w:rPr>
          <w:rFonts w:ascii="Arial" w:hAnsi="Arial" w:eastAsia="Arial"/>
          <w:b w:val="0"/>
          <w:i w:val="0"/>
          <w:sz w:val="24"/>
        </w:rPr>
        <w:t>9e32b809b22239f6c406905b9523306f87065f0e14d30c454df1dabd0d0cb85c</w:t>
      </w:r>
      <w:r>
        <w:rPr>
          <w:rFonts w:ascii="Arial" w:hAnsi="Arial" w:eastAsia="Arial"/>
          <w:b w:val="0"/>
          <w:i w:val="0"/>
          <w:sz w:val="24"/>
        </w:rPr>
        <w:t>.</w:t>
      </w:r>
    </w:p>
    <w:p>
      <w:pPr>
        <w:spacing w:before="0" w:after="120" w:line="360" w:lineRule="auto"/>
        <w:ind w:firstLine="709"/>
        <w:jc w:val="both"/>
      </w:pPr>
      <w:r>
        <w:rPr>
          <w:rFonts w:ascii="Arial" w:hAnsi="Arial" w:eastAsia="Arial"/>
          <w:b w:val="0"/>
          <w:i w:val="0"/>
          <w:sz w:val="24"/>
        </w:rPr>
        <w:t>Os dados derivados foram produzidos por scripts versionados e estão em os artefatos digitais do projeto. O procedimento construiu a grade temporal de cada sessão, classificou os registros, identificou lacunas e preservou os subconjuntos operacionais sem imputação. Portanto, valores ausentes não foram preenchidos artificialmente.</w:t>
      </w:r>
    </w:p>
    <w:p>
      <w:pPr>
        <w:pStyle w:val="Ttulo2"/>
        <w:spacing w:before="120" w:after="120" w:line="360" w:lineRule="auto"/>
        <w:jc w:val="left"/>
      </w:pPr>
      <w:r>
        <w:rPr>
          <w:rFonts w:ascii="Arial" w:hAnsi="Arial" w:eastAsia="Arial"/>
          <w:b/>
          <w:i w:val="0"/>
          <w:sz w:val="24"/>
        </w:rPr>
        <w:t>5.2 Funcionamento funcional dos sensores</w:t>
      </w:r>
    </w:p>
    <w:p>
      <w:pPr>
        <w:spacing w:before="0" w:after="120" w:line="360" w:lineRule="auto"/>
        <w:ind w:firstLine="709"/>
        <w:jc w:val="both"/>
      </w:pPr>
      <w:r>
        <w:rPr>
          <w:rFonts w:ascii="Arial" w:hAnsi="Arial" w:eastAsia="Arial"/>
          <w:b w:val="0"/>
          <w:i w:val="0"/>
          <w:sz w:val="24"/>
        </w:rPr>
        <w:t>Nas janelas formais foram armazenadas 1.609 medições sincronizadas e plenamente válidas para temperatura do ar, umidade relativa e iluminância. Esse resultado demonstra inicialização, aquisição contínua, transmissão e preservação das três variáveis na cadeia implementada.</w:t>
      </w:r>
    </w:p>
    <w:p>
      <w:pPr>
        <w:spacing w:before="0" w:after="120" w:line="360" w:lineRule="auto"/>
        <w:ind w:firstLine="709"/>
        <w:jc w:val="both"/>
      </w:pPr>
      <w:r>
        <w:rPr>
          <w:rFonts w:ascii="Arial" w:hAnsi="Arial" w:eastAsia="Arial"/>
          <w:b w:val="0"/>
          <w:i w:val="0"/>
          <w:sz w:val="24"/>
        </w:rPr>
        <w:t>Não havia instrumento de referência disponível na coleta real. Assim, não foram calculados viés, MAE, RMSE, MAPE, calibração ou exatidão dos sensores. A evidência apresentada é funcional e não metrológica, conforme a delimitação metodológica do estudo.</w:t>
      </w:r>
    </w:p>
    <w:p>
      <w:pPr>
        <w:pStyle w:val="Ttulo2"/>
        <w:spacing w:before="120" w:after="120" w:line="360" w:lineRule="auto"/>
        <w:jc w:val="left"/>
      </w:pPr>
      <w:r>
        <w:rPr>
          <w:rFonts w:ascii="Arial" w:hAnsi="Arial" w:eastAsia="Arial"/>
          <w:b/>
          <w:i w:val="0"/>
          <w:sz w:val="24"/>
        </w:rPr>
        <w:t>5.3 Estabilidade operacional da cadeia IoT</w:t>
      </w:r>
    </w:p>
    <w:p>
      <w:pPr>
        <w:spacing w:before="120" w:after="40" w:line="240" w:lineRule="auto"/>
        <w:jc w:val="left"/>
      </w:pPr>
      <w:r>
        <w:rPr>
          <w:rFonts w:ascii="Arial" w:hAnsi="Arial" w:eastAsia="Arial"/>
          <w:b/>
          <w:i w:val="0"/>
          <w:sz w:val="20"/>
        </w:rPr>
        <w:t>Tabela 1 — Síntese das sessões formais de estabilidade operacional.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7"/>
        <w:gridCol w:w="907"/>
        <w:gridCol w:w="907"/>
        <w:gridCol w:w="907"/>
        <w:gridCol w:w="907"/>
        <w:gridCol w:w="907"/>
        <w:gridCol w:w="907"/>
        <w:gridCol w:w="907"/>
        <w:gridCol w:w="907"/>
        <w:gridCol w:w="907"/>
      </w:tblGrid>
      <w:tr>
        <w:tc>
          <w:tcPr>
            <w:tcW w:type="dxa" w:w="907"/>
          </w:tcPr>
          <w:p>
            <w:pPr>
              <w:spacing w:before="0" w:after="0" w:line="240" w:lineRule="auto"/>
              <w:jc w:val="center"/>
            </w:pPr>
            <w:r>
              <w:rPr>
                <w:rFonts w:ascii="Arial" w:hAnsi="Arial" w:eastAsia="Arial"/>
                <w:b/>
                <w:i w:val="0"/>
                <w:sz w:val="18"/>
              </w:rPr>
              <w:t>Data</w:t>
            </w:r>
          </w:p>
        </w:tc>
        <w:tc>
          <w:tcPr>
            <w:tcW w:type="dxa" w:w="907"/>
          </w:tcPr>
          <w:p>
            <w:pPr>
              <w:spacing w:before="0" w:after="0" w:line="240" w:lineRule="auto"/>
              <w:jc w:val="center"/>
            </w:pPr>
            <w:r>
              <w:rPr>
                <w:rFonts w:ascii="Arial" w:hAnsi="Arial" w:eastAsia="Arial"/>
                <w:b/>
                <w:i w:val="0"/>
                <w:sz w:val="18"/>
              </w:rPr>
              <w:t>Duração efetiva</w:t>
            </w:r>
          </w:p>
        </w:tc>
        <w:tc>
          <w:tcPr>
            <w:tcW w:type="dxa" w:w="907"/>
          </w:tcPr>
          <w:p>
            <w:pPr>
              <w:spacing w:before="0" w:after="0" w:line="240" w:lineRule="auto"/>
              <w:jc w:val="center"/>
            </w:pPr>
            <w:r>
              <w:rPr>
                <w:rFonts w:ascii="Arial" w:hAnsi="Arial" w:eastAsia="Arial"/>
                <w:b/>
                <w:i w:val="0"/>
                <w:sz w:val="18"/>
              </w:rPr>
              <w:t>Esperados</w:t>
            </w:r>
          </w:p>
        </w:tc>
        <w:tc>
          <w:tcPr>
            <w:tcW w:type="dxa" w:w="907"/>
          </w:tcPr>
          <w:p>
            <w:pPr>
              <w:spacing w:before="0" w:after="0" w:line="240" w:lineRule="auto"/>
              <w:jc w:val="center"/>
            </w:pPr>
            <w:r>
              <w:rPr>
                <w:rFonts w:ascii="Arial" w:hAnsi="Arial" w:eastAsia="Arial"/>
                <w:b/>
                <w:i w:val="0"/>
                <w:sz w:val="18"/>
              </w:rPr>
              <w:t>Armazenados</w:t>
            </w:r>
          </w:p>
        </w:tc>
        <w:tc>
          <w:tcPr>
            <w:tcW w:type="dxa" w:w="907"/>
          </w:tcPr>
          <w:p>
            <w:pPr>
              <w:spacing w:before="0" w:after="0" w:line="240" w:lineRule="auto"/>
              <w:jc w:val="center"/>
            </w:pPr>
            <w:r>
              <w:rPr>
                <w:rFonts w:ascii="Arial" w:hAnsi="Arial" w:eastAsia="Arial"/>
                <w:b/>
                <w:i w:val="0"/>
                <w:sz w:val="18"/>
              </w:rPr>
              <w:t>Completude</w:t>
            </w:r>
          </w:p>
        </w:tc>
        <w:tc>
          <w:tcPr>
            <w:tcW w:type="dxa" w:w="907"/>
          </w:tcPr>
          <w:p>
            <w:pPr>
              <w:spacing w:before="0" w:after="0" w:line="240" w:lineRule="auto"/>
              <w:jc w:val="center"/>
            </w:pPr>
            <w:r>
              <w:rPr>
                <w:rFonts w:ascii="Arial" w:hAnsi="Arial" w:eastAsia="Arial"/>
                <w:b/>
                <w:i w:val="0"/>
                <w:sz w:val="18"/>
              </w:rPr>
              <w:t>Sincronizados</w:t>
            </w:r>
          </w:p>
        </w:tc>
        <w:tc>
          <w:tcPr>
            <w:tcW w:type="dxa" w:w="907"/>
          </w:tcPr>
          <w:p>
            <w:pPr>
              <w:spacing w:before="0" w:after="0" w:line="240" w:lineRule="auto"/>
              <w:jc w:val="center"/>
            </w:pPr>
            <w:r>
              <w:rPr>
                <w:rFonts w:ascii="Arial" w:hAnsi="Arial" w:eastAsia="Arial"/>
                <w:b/>
                <w:i w:val="0"/>
                <w:sz w:val="18"/>
              </w:rPr>
              <w:t>Válidos</w:t>
            </w:r>
          </w:p>
        </w:tc>
        <w:tc>
          <w:tcPr>
            <w:tcW w:type="dxa" w:w="907"/>
          </w:tcPr>
          <w:p>
            <w:pPr>
              <w:spacing w:before="0" w:after="0" w:line="240" w:lineRule="auto"/>
              <w:jc w:val="center"/>
            </w:pPr>
            <w:r>
              <w:rPr>
                <w:rFonts w:ascii="Arial" w:hAnsi="Arial" w:eastAsia="Arial"/>
                <w:b/>
                <w:i w:val="0"/>
                <w:sz w:val="18"/>
              </w:rPr>
              <w:t>P95 do erro de intervalo</w:t>
            </w:r>
          </w:p>
        </w:tc>
        <w:tc>
          <w:tcPr>
            <w:tcW w:type="dxa" w:w="907"/>
          </w:tcPr>
          <w:p>
            <w:pPr>
              <w:spacing w:before="0" w:after="0" w:line="240" w:lineRule="auto"/>
              <w:jc w:val="center"/>
            </w:pPr>
            <w:r>
              <w:rPr>
                <w:rFonts w:ascii="Arial" w:hAnsi="Arial" w:eastAsia="Arial"/>
                <w:b/>
                <w:i w:val="0"/>
                <w:sz w:val="18"/>
              </w:rPr>
              <w:t>P95 até a API</w:t>
            </w:r>
          </w:p>
        </w:tc>
        <w:tc>
          <w:tcPr>
            <w:tcW w:type="dxa" w:w="907"/>
          </w:tcPr>
          <w:p>
            <w:pPr>
              <w:spacing w:before="0" w:after="0" w:line="240" w:lineRule="auto"/>
              <w:jc w:val="center"/>
            </w:pPr>
            <w:r>
              <w:rPr>
                <w:rFonts w:ascii="Arial" w:hAnsi="Arial" w:eastAsia="Arial"/>
                <w:b/>
                <w:i w:val="0"/>
                <w:sz w:val="18"/>
              </w:rPr>
              <w:t>Lacunas</w:t>
            </w:r>
          </w:p>
        </w:tc>
      </w:tr>
      <w:tr>
        <w:tc>
          <w:tcPr>
            <w:tcW w:type="dxa" w:w="907"/>
          </w:tcPr>
          <w:p>
            <w:pPr>
              <w:spacing w:before="0" w:after="0" w:line="240" w:lineRule="auto"/>
              <w:jc w:val="left"/>
            </w:pPr>
            <w:r>
              <w:rPr>
                <w:rFonts w:ascii="Arial" w:hAnsi="Arial" w:eastAsia="Arial"/>
                <w:b w:val="0"/>
                <w:i w:val="0"/>
                <w:sz w:val="18"/>
              </w:rPr>
              <w:t>19/10/2026</w:t>
            </w:r>
          </w:p>
        </w:tc>
        <w:tc>
          <w:tcPr>
            <w:tcW w:type="dxa" w:w="907"/>
          </w:tcPr>
          <w:p>
            <w:pPr>
              <w:spacing w:before="0" w:after="0" w:line="240" w:lineRule="auto"/>
              <w:jc w:val="left"/>
            </w:pPr>
            <w:r>
              <w:rPr>
                <w:rFonts w:ascii="Arial" w:hAnsi="Arial" w:eastAsia="Arial"/>
                <w:b w:val="0"/>
                <w:i w:val="0"/>
                <w:sz w:val="18"/>
              </w:rPr>
              <w:t>9 h 09 min 10 s</w:t>
            </w:r>
          </w:p>
        </w:tc>
        <w:tc>
          <w:tcPr>
            <w:tcW w:type="dxa" w:w="907"/>
          </w:tcPr>
          <w:p>
            <w:pPr>
              <w:spacing w:before="0" w:after="0" w:line="240" w:lineRule="auto"/>
              <w:jc w:val="left"/>
            </w:pPr>
            <w:r>
              <w:rPr>
                <w:rFonts w:ascii="Arial" w:hAnsi="Arial" w:eastAsia="Arial"/>
                <w:b w:val="0"/>
                <w:i w:val="0"/>
                <w:sz w:val="18"/>
              </w:rPr>
              <w:t>550</w:t>
            </w:r>
          </w:p>
        </w:tc>
        <w:tc>
          <w:tcPr>
            <w:tcW w:type="dxa" w:w="907"/>
          </w:tcPr>
          <w:p>
            <w:pPr>
              <w:spacing w:before="0" w:after="0" w:line="240" w:lineRule="auto"/>
              <w:jc w:val="left"/>
            </w:pPr>
            <w:r>
              <w:rPr>
                <w:rFonts w:ascii="Arial" w:hAnsi="Arial" w:eastAsia="Arial"/>
                <w:b w:val="0"/>
                <w:i w:val="0"/>
                <w:sz w:val="18"/>
              </w:rPr>
              <w:t>549</w:t>
            </w:r>
          </w:p>
        </w:tc>
        <w:tc>
          <w:tcPr>
            <w:tcW w:type="dxa" w:w="907"/>
          </w:tcPr>
          <w:p>
            <w:pPr>
              <w:spacing w:before="0" w:after="0" w:line="240" w:lineRule="auto"/>
              <w:jc w:val="left"/>
            </w:pPr>
            <w:r>
              <w:rPr>
                <w:rFonts w:ascii="Arial" w:hAnsi="Arial" w:eastAsia="Arial"/>
                <w:b w:val="0"/>
                <w:i w:val="0"/>
                <w:sz w:val="18"/>
              </w:rPr>
              <w:t>99,818%</w:t>
            </w:r>
          </w:p>
        </w:tc>
        <w:tc>
          <w:tcPr>
            <w:tcW w:type="dxa" w:w="907"/>
          </w:tcPr>
          <w:p>
            <w:pPr>
              <w:spacing w:before="0" w:after="0" w:line="240" w:lineRule="auto"/>
              <w:jc w:val="left"/>
            </w:pPr>
            <w:r>
              <w:rPr>
                <w:rFonts w:ascii="Arial" w:hAnsi="Arial" w:eastAsia="Arial"/>
                <w:b w:val="0"/>
                <w:i w:val="0"/>
                <w:sz w:val="18"/>
              </w:rPr>
              <w:t>100%</w:t>
            </w:r>
          </w:p>
        </w:tc>
        <w:tc>
          <w:tcPr>
            <w:tcW w:type="dxa" w:w="907"/>
          </w:tcPr>
          <w:p>
            <w:pPr>
              <w:spacing w:before="0" w:after="0" w:line="240" w:lineRule="auto"/>
              <w:jc w:val="left"/>
            </w:pPr>
            <w:r>
              <w:rPr>
                <w:rFonts w:ascii="Arial" w:hAnsi="Arial" w:eastAsia="Arial"/>
                <w:b w:val="0"/>
                <w:i w:val="0"/>
                <w:sz w:val="18"/>
              </w:rPr>
              <w:t>549</w:t>
            </w:r>
          </w:p>
        </w:tc>
        <w:tc>
          <w:tcPr>
            <w:tcW w:type="dxa" w:w="907"/>
          </w:tcPr>
          <w:p>
            <w:pPr>
              <w:spacing w:before="0" w:after="0" w:line="240" w:lineRule="auto"/>
              <w:jc w:val="left"/>
            </w:pPr>
            <w:r>
              <w:rPr>
                <w:rFonts w:ascii="Arial" w:hAnsi="Arial" w:eastAsia="Arial"/>
                <w:b w:val="0"/>
                <w:i w:val="0"/>
                <w:sz w:val="18"/>
              </w:rPr>
              <w:t>0 s</w:t>
            </w:r>
          </w:p>
        </w:tc>
        <w:tc>
          <w:tcPr>
            <w:tcW w:type="dxa" w:w="907"/>
          </w:tcPr>
          <w:p>
            <w:pPr>
              <w:spacing w:before="0" w:after="0" w:line="240" w:lineRule="auto"/>
              <w:jc w:val="left"/>
            </w:pPr>
            <w:r>
              <w:rPr>
                <w:rFonts w:ascii="Arial" w:hAnsi="Arial" w:eastAsia="Arial"/>
                <w:b w:val="0"/>
                <w:i w:val="0"/>
                <w:sz w:val="18"/>
              </w:rPr>
              <w:t>2,353 s</w:t>
            </w:r>
          </w:p>
        </w:tc>
        <w:tc>
          <w:tcPr>
            <w:tcW w:type="dxa" w:w="907"/>
          </w:tcPr>
          <w:p>
            <w:pPr>
              <w:spacing w:before="0" w:after="0" w:line="240" w:lineRule="auto"/>
              <w:jc w:val="left"/>
            </w:pPr>
            <w:r>
              <w:rPr>
                <w:rFonts w:ascii="Arial" w:hAnsi="Arial" w:eastAsia="Arial"/>
                <w:b w:val="0"/>
                <w:i w:val="0"/>
                <w:sz w:val="18"/>
              </w:rPr>
              <w:t>1</w:t>
            </w:r>
          </w:p>
        </w:tc>
      </w:tr>
      <w:tr>
        <w:tc>
          <w:tcPr>
            <w:tcW w:type="dxa" w:w="907"/>
          </w:tcPr>
          <w:p>
            <w:pPr>
              <w:spacing w:before="0" w:after="0" w:line="240" w:lineRule="auto"/>
              <w:jc w:val="left"/>
            </w:pPr>
            <w:r>
              <w:rPr>
                <w:rFonts w:ascii="Arial" w:hAnsi="Arial" w:eastAsia="Arial"/>
                <w:b w:val="0"/>
                <w:i w:val="0"/>
                <w:sz w:val="18"/>
              </w:rPr>
              <w:t>20/10/2026</w:t>
            </w:r>
          </w:p>
        </w:tc>
        <w:tc>
          <w:tcPr>
            <w:tcW w:type="dxa" w:w="907"/>
          </w:tcPr>
          <w:p>
            <w:pPr>
              <w:spacing w:before="0" w:after="0" w:line="240" w:lineRule="auto"/>
              <w:jc w:val="left"/>
            </w:pPr>
            <w:r>
              <w:rPr>
                <w:rFonts w:ascii="Arial" w:hAnsi="Arial" w:eastAsia="Arial"/>
                <w:b w:val="0"/>
                <w:i w:val="0"/>
                <w:sz w:val="18"/>
              </w:rPr>
              <w:t>8 h 46 min 46 s</w:t>
            </w:r>
          </w:p>
        </w:tc>
        <w:tc>
          <w:tcPr>
            <w:tcW w:type="dxa" w:w="907"/>
          </w:tcPr>
          <w:p>
            <w:pPr>
              <w:spacing w:before="0" w:after="0" w:line="240" w:lineRule="auto"/>
              <w:jc w:val="left"/>
            </w:pPr>
            <w:r>
              <w:rPr>
                <w:rFonts w:ascii="Arial" w:hAnsi="Arial" w:eastAsia="Arial"/>
                <w:b w:val="0"/>
                <w:i w:val="0"/>
                <w:sz w:val="18"/>
              </w:rPr>
              <w:t>527</w:t>
            </w:r>
          </w:p>
        </w:tc>
        <w:tc>
          <w:tcPr>
            <w:tcW w:type="dxa" w:w="907"/>
          </w:tcPr>
          <w:p>
            <w:pPr>
              <w:spacing w:before="0" w:after="0" w:line="240" w:lineRule="auto"/>
              <w:jc w:val="left"/>
            </w:pPr>
            <w:r>
              <w:rPr>
                <w:rFonts w:ascii="Arial" w:hAnsi="Arial" w:eastAsia="Arial"/>
                <w:b w:val="0"/>
                <w:i w:val="0"/>
                <w:sz w:val="18"/>
              </w:rPr>
              <w:t>526</w:t>
            </w:r>
          </w:p>
        </w:tc>
        <w:tc>
          <w:tcPr>
            <w:tcW w:type="dxa" w:w="907"/>
          </w:tcPr>
          <w:p>
            <w:pPr>
              <w:spacing w:before="0" w:after="0" w:line="240" w:lineRule="auto"/>
              <w:jc w:val="left"/>
            </w:pPr>
            <w:r>
              <w:rPr>
                <w:rFonts w:ascii="Arial" w:hAnsi="Arial" w:eastAsia="Arial"/>
                <w:b w:val="0"/>
                <w:i w:val="0"/>
                <w:sz w:val="18"/>
              </w:rPr>
              <w:t>99,810%</w:t>
            </w:r>
          </w:p>
        </w:tc>
        <w:tc>
          <w:tcPr>
            <w:tcW w:type="dxa" w:w="907"/>
          </w:tcPr>
          <w:p>
            <w:pPr>
              <w:spacing w:before="0" w:after="0" w:line="240" w:lineRule="auto"/>
              <w:jc w:val="left"/>
            </w:pPr>
            <w:r>
              <w:rPr>
                <w:rFonts w:ascii="Arial" w:hAnsi="Arial" w:eastAsia="Arial"/>
                <w:b w:val="0"/>
                <w:i w:val="0"/>
                <w:sz w:val="18"/>
              </w:rPr>
              <w:t>100%</w:t>
            </w:r>
          </w:p>
        </w:tc>
        <w:tc>
          <w:tcPr>
            <w:tcW w:type="dxa" w:w="907"/>
          </w:tcPr>
          <w:p>
            <w:pPr>
              <w:spacing w:before="0" w:after="0" w:line="240" w:lineRule="auto"/>
              <w:jc w:val="left"/>
            </w:pPr>
            <w:r>
              <w:rPr>
                <w:rFonts w:ascii="Arial" w:hAnsi="Arial" w:eastAsia="Arial"/>
                <w:b w:val="0"/>
                <w:i w:val="0"/>
                <w:sz w:val="18"/>
              </w:rPr>
              <w:t>526</w:t>
            </w:r>
          </w:p>
        </w:tc>
        <w:tc>
          <w:tcPr>
            <w:tcW w:type="dxa" w:w="907"/>
          </w:tcPr>
          <w:p>
            <w:pPr>
              <w:spacing w:before="0" w:after="0" w:line="240" w:lineRule="auto"/>
              <w:jc w:val="left"/>
            </w:pPr>
            <w:r>
              <w:rPr>
                <w:rFonts w:ascii="Arial" w:hAnsi="Arial" w:eastAsia="Arial"/>
                <w:b w:val="0"/>
                <w:i w:val="0"/>
                <w:sz w:val="18"/>
              </w:rPr>
              <w:t>0 s</w:t>
            </w:r>
          </w:p>
        </w:tc>
        <w:tc>
          <w:tcPr>
            <w:tcW w:type="dxa" w:w="907"/>
          </w:tcPr>
          <w:p>
            <w:pPr>
              <w:spacing w:before="0" w:after="0" w:line="240" w:lineRule="auto"/>
              <w:jc w:val="left"/>
            </w:pPr>
            <w:r>
              <w:rPr>
                <w:rFonts w:ascii="Arial" w:hAnsi="Arial" w:eastAsia="Arial"/>
                <w:b w:val="0"/>
                <w:i w:val="0"/>
                <w:sz w:val="18"/>
              </w:rPr>
              <w:t>2,606 s</w:t>
            </w:r>
          </w:p>
        </w:tc>
        <w:tc>
          <w:tcPr>
            <w:tcW w:type="dxa" w:w="907"/>
          </w:tcPr>
          <w:p>
            <w:pPr>
              <w:spacing w:before="0" w:after="0" w:line="240" w:lineRule="auto"/>
              <w:jc w:val="left"/>
            </w:pPr>
            <w:r>
              <w:rPr>
                <w:rFonts w:ascii="Arial" w:hAnsi="Arial" w:eastAsia="Arial"/>
                <w:b w:val="0"/>
                <w:i w:val="0"/>
                <w:sz w:val="18"/>
              </w:rPr>
              <w:t>1</w:t>
            </w:r>
          </w:p>
        </w:tc>
      </w:tr>
      <w:tr>
        <w:tc>
          <w:tcPr>
            <w:tcW w:type="dxa" w:w="907"/>
          </w:tcPr>
          <w:p>
            <w:pPr>
              <w:spacing w:before="0" w:after="0" w:line="240" w:lineRule="auto"/>
              <w:jc w:val="left"/>
            </w:pPr>
            <w:r>
              <w:rPr>
                <w:rFonts w:ascii="Arial" w:hAnsi="Arial" w:eastAsia="Arial"/>
                <w:b w:val="0"/>
                <w:i w:val="0"/>
                <w:sz w:val="18"/>
              </w:rPr>
              <w:t>21/10/2026</w:t>
            </w:r>
          </w:p>
        </w:tc>
        <w:tc>
          <w:tcPr>
            <w:tcW w:type="dxa" w:w="907"/>
          </w:tcPr>
          <w:p>
            <w:pPr>
              <w:spacing w:before="0" w:after="0" w:line="240" w:lineRule="auto"/>
              <w:jc w:val="left"/>
            </w:pPr>
            <w:r>
              <w:rPr>
                <w:rFonts w:ascii="Arial" w:hAnsi="Arial" w:eastAsia="Arial"/>
                <w:b w:val="0"/>
                <w:i w:val="0"/>
                <w:sz w:val="18"/>
              </w:rPr>
              <w:t>8 h 56 min 35 s</w:t>
            </w:r>
          </w:p>
        </w:tc>
        <w:tc>
          <w:tcPr>
            <w:tcW w:type="dxa" w:w="907"/>
          </w:tcPr>
          <w:p>
            <w:pPr>
              <w:spacing w:before="0" w:after="0" w:line="240" w:lineRule="auto"/>
              <w:jc w:val="left"/>
            </w:pPr>
            <w:r>
              <w:rPr>
                <w:rFonts w:ascii="Arial" w:hAnsi="Arial" w:eastAsia="Arial"/>
                <w:b w:val="0"/>
                <w:i w:val="0"/>
                <w:sz w:val="18"/>
              </w:rPr>
              <w:t>537</w:t>
            </w:r>
          </w:p>
        </w:tc>
        <w:tc>
          <w:tcPr>
            <w:tcW w:type="dxa" w:w="907"/>
          </w:tcPr>
          <w:p>
            <w:pPr>
              <w:spacing w:before="0" w:after="0" w:line="240" w:lineRule="auto"/>
              <w:jc w:val="left"/>
            </w:pPr>
            <w:r>
              <w:rPr>
                <w:rFonts w:ascii="Arial" w:hAnsi="Arial" w:eastAsia="Arial"/>
                <w:b w:val="0"/>
                <w:i w:val="0"/>
                <w:sz w:val="18"/>
              </w:rPr>
              <w:t>534</w:t>
            </w:r>
          </w:p>
        </w:tc>
        <w:tc>
          <w:tcPr>
            <w:tcW w:type="dxa" w:w="907"/>
          </w:tcPr>
          <w:p>
            <w:pPr>
              <w:spacing w:before="0" w:after="0" w:line="240" w:lineRule="auto"/>
              <w:jc w:val="left"/>
            </w:pPr>
            <w:r>
              <w:rPr>
                <w:rFonts w:ascii="Arial" w:hAnsi="Arial" w:eastAsia="Arial"/>
                <w:b w:val="0"/>
                <w:i w:val="0"/>
                <w:sz w:val="18"/>
              </w:rPr>
              <w:t>99,441%</w:t>
            </w:r>
          </w:p>
        </w:tc>
        <w:tc>
          <w:tcPr>
            <w:tcW w:type="dxa" w:w="907"/>
          </w:tcPr>
          <w:p>
            <w:pPr>
              <w:spacing w:before="0" w:after="0" w:line="240" w:lineRule="auto"/>
              <w:jc w:val="left"/>
            </w:pPr>
            <w:r>
              <w:rPr>
                <w:rFonts w:ascii="Arial" w:hAnsi="Arial" w:eastAsia="Arial"/>
                <w:b w:val="0"/>
                <w:i w:val="0"/>
                <w:sz w:val="18"/>
              </w:rPr>
              <w:t>100%</w:t>
            </w:r>
          </w:p>
        </w:tc>
        <w:tc>
          <w:tcPr>
            <w:tcW w:type="dxa" w:w="907"/>
          </w:tcPr>
          <w:p>
            <w:pPr>
              <w:spacing w:before="0" w:after="0" w:line="240" w:lineRule="auto"/>
              <w:jc w:val="left"/>
            </w:pPr>
            <w:r>
              <w:rPr>
                <w:rFonts w:ascii="Arial" w:hAnsi="Arial" w:eastAsia="Arial"/>
                <w:b w:val="0"/>
                <w:i w:val="0"/>
                <w:sz w:val="18"/>
              </w:rPr>
              <w:t>534</w:t>
            </w:r>
          </w:p>
        </w:tc>
        <w:tc>
          <w:tcPr>
            <w:tcW w:type="dxa" w:w="907"/>
          </w:tcPr>
          <w:p>
            <w:pPr>
              <w:spacing w:before="0" w:after="0" w:line="240" w:lineRule="auto"/>
              <w:jc w:val="left"/>
            </w:pPr>
            <w:r>
              <w:rPr>
                <w:rFonts w:ascii="Arial" w:hAnsi="Arial" w:eastAsia="Arial"/>
                <w:b w:val="0"/>
                <w:i w:val="0"/>
                <w:sz w:val="18"/>
              </w:rPr>
              <w:t>0 s</w:t>
            </w:r>
          </w:p>
        </w:tc>
        <w:tc>
          <w:tcPr>
            <w:tcW w:type="dxa" w:w="907"/>
          </w:tcPr>
          <w:p>
            <w:pPr>
              <w:spacing w:before="0" w:after="0" w:line="240" w:lineRule="auto"/>
              <w:jc w:val="left"/>
            </w:pPr>
            <w:r>
              <w:rPr>
                <w:rFonts w:ascii="Arial" w:hAnsi="Arial" w:eastAsia="Arial"/>
                <w:b w:val="0"/>
                <w:i w:val="0"/>
                <w:sz w:val="18"/>
              </w:rPr>
              <w:t>2,511 s</w:t>
            </w:r>
          </w:p>
        </w:tc>
        <w:tc>
          <w:tcPr>
            <w:tcW w:type="dxa" w:w="907"/>
          </w:tcPr>
          <w:p>
            <w:pPr>
              <w:spacing w:before="0" w:after="0" w:line="240" w:lineRule="auto"/>
              <w:jc w:val="left"/>
            </w:pPr>
            <w:r>
              <w:rPr>
                <w:rFonts w:ascii="Arial" w:hAnsi="Arial" w:eastAsia="Arial"/>
                <w:b w:val="0"/>
                <w:i w:val="0"/>
                <w:sz w:val="18"/>
              </w:rPr>
              <w:t>3</w:t>
            </w:r>
          </w:p>
        </w:tc>
      </w:tr>
      <w:tr>
        <w:tc>
          <w:tcPr>
            <w:tcW w:type="dxa" w:w="907"/>
          </w:tcPr>
          <w:p>
            <w:pPr>
              <w:spacing w:before="0" w:after="0" w:line="240" w:lineRule="auto"/>
              <w:jc w:val="left"/>
            </w:pPr>
            <w:r>
              <w:rPr>
                <w:rFonts w:ascii="Arial" w:hAnsi="Arial" w:eastAsia="Arial"/>
                <w:b/>
                <w:i w:val="0"/>
                <w:sz w:val="18"/>
              </w:rPr>
              <w:t>Acumulado</w:t>
            </w:r>
          </w:p>
        </w:tc>
        <w:tc>
          <w:tcPr>
            <w:tcW w:type="dxa" w:w="907"/>
          </w:tcPr>
          <w:p>
            <w:pPr>
              <w:spacing w:before="0" w:after="0" w:line="240" w:lineRule="auto"/>
              <w:jc w:val="left"/>
            </w:pPr>
            <w:r>
              <w:rPr>
                <w:rFonts w:ascii="Arial" w:hAnsi="Arial" w:eastAsia="Arial"/>
                <w:b/>
                <w:i w:val="0"/>
                <w:sz w:val="18"/>
              </w:rPr>
              <w:t>26 h 52 min 31 s</w:t>
            </w:r>
          </w:p>
        </w:tc>
        <w:tc>
          <w:tcPr>
            <w:tcW w:type="dxa" w:w="907"/>
          </w:tcPr>
          <w:p>
            <w:pPr>
              <w:spacing w:before="0" w:after="0" w:line="240" w:lineRule="auto"/>
              <w:jc w:val="left"/>
            </w:pPr>
            <w:r>
              <w:rPr>
                <w:rFonts w:ascii="Arial" w:hAnsi="Arial" w:eastAsia="Arial"/>
                <w:b/>
                <w:i w:val="0"/>
                <w:sz w:val="18"/>
              </w:rPr>
              <w:t>1.614</w:t>
            </w:r>
          </w:p>
        </w:tc>
        <w:tc>
          <w:tcPr>
            <w:tcW w:type="dxa" w:w="907"/>
          </w:tcPr>
          <w:p>
            <w:pPr>
              <w:spacing w:before="0" w:after="0" w:line="240" w:lineRule="auto"/>
              <w:jc w:val="left"/>
            </w:pPr>
            <w:r>
              <w:rPr>
                <w:rFonts w:ascii="Arial" w:hAnsi="Arial" w:eastAsia="Arial"/>
                <w:b/>
                <w:i w:val="0"/>
                <w:sz w:val="18"/>
              </w:rPr>
              <w:t>1.609</w:t>
            </w:r>
          </w:p>
        </w:tc>
        <w:tc>
          <w:tcPr>
            <w:tcW w:type="dxa" w:w="907"/>
          </w:tcPr>
          <w:p>
            <w:pPr>
              <w:spacing w:before="0" w:after="0" w:line="240" w:lineRule="auto"/>
              <w:jc w:val="left"/>
            </w:pPr>
            <w:r>
              <w:rPr>
                <w:rFonts w:ascii="Arial" w:hAnsi="Arial" w:eastAsia="Arial"/>
                <w:b/>
                <w:i w:val="0"/>
                <w:sz w:val="18"/>
              </w:rPr>
              <w:t>99,690%</w:t>
            </w:r>
          </w:p>
        </w:tc>
        <w:tc>
          <w:tcPr>
            <w:tcW w:type="dxa" w:w="907"/>
          </w:tcPr>
          <w:p>
            <w:pPr>
              <w:spacing w:before="0" w:after="0" w:line="240" w:lineRule="auto"/>
              <w:jc w:val="left"/>
            </w:pPr>
            <w:r>
              <w:rPr>
                <w:rFonts w:ascii="Arial" w:hAnsi="Arial" w:eastAsia="Arial"/>
                <w:b/>
                <w:i w:val="0"/>
                <w:sz w:val="18"/>
              </w:rPr>
              <w:t>100%</w:t>
            </w:r>
          </w:p>
        </w:tc>
        <w:tc>
          <w:tcPr>
            <w:tcW w:type="dxa" w:w="907"/>
          </w:tcPr>
          <w:p>
            <w:pPr>
              <w:spacing w:before="0" w:after="0" w:line="240" w:lineRule="auto"/>
              <w:jc w:val="left"/>
            </w:pPr>
            <w:r>
              <w:rPr>
                <w:rFonts w:ascii="Arial" w:hAnsi="Arial" w:eastAsia="Arial"/>
                <w:b/>
                <w:i w:val="0"/>
                <w:sz w:val="18"/>
              </w:rPr>
              <w:t>1.609</w:t>
            </w:r>
          </w:p>
        </w:tc>
        <w:tc>
          <w:tcPr>
            <w:tcW w:type="dxa" w:w="907"/>
          </w:tcPr>
          <w:p>
            <w:pPr>
              <w:spacing w:before="0" w:after="0" w:line="240" w:lineRule="auto"/>
              <w:jc w:val="left"/>
            </w:pPr>
            <w:r>
              <w:rPr>
                <w:rFonts w:ascii="Arial" w:hAnsi="Arial" w:eastAsia="Arial"/>
                <w:b w:val="0"/>
                <w:i w:val="0"/>
                <w:sz w:val="18"/>
              </w:rPr>
              <w:t>—</w:t>
            </w:r>
          </w:p>
        </w:tc>
        <w:tc>
          <w:tcPr>
            <w:tcW w:type="dxa" w:w="907"/>
          </w:tcPr>
          <w:p>
            <w:pPr>
              <w:spacing w:before="0" w:after="0" w:line="240" w:lineRule="auto"/>
              <w:jc w:val="left"/>
            </w:pPr>
            <w:r>
              <w:rPr>
                <w:rFonts w:ascii="Arial" w:hAnsi="Arial" w:eastAsia="Arial"/>
                <w:b w:val="0"/>
                <w:i w:val="0"/>
                <w:sz w:val="18"/>
              </w:rPr>
              <w:t>—</w:t>
            </w:r>
          </w:p>
        </w:tc>
        <w:tc>
          <w:tcPr>
            <w:tcW w:type="dxa" w:w="907"/>
          </w:tcPr>
          <w:p>
            <w:pPr>
              <w:spacing w:before="0" w:after="0" w:line="240" w:lineRule="auto"/>
              <w:jc w:val="left"/>
            </w:pPr>
            <w:r>
              <w:rPr>
                <w:rFonts w:ascii="Arial" w:hAnsi="Arial" w:eastAsia="Arial"/>
                <w:b/>
                <w:i w:val="0"/>
                <w:sz w:val="18"/>
              </w:rPr>
              <w:t>5</w:t>
            </w:r>
          </w:p>
        </w:tc>
      </w:tr>
    </w:tbl>
    <w:p/>
    <w:p>
      <w:pPr>
        <w:spacing w:before="0" w:after="120" w:line="240" w:lineRule="auto"/>
        <w:jc w:val="left"/>
      </w:pPr>
      <w:r>
        <w:rPr>
          <w:rFonts w:ascii="Arial" w:hAnsi="Arial" w:eastAsia="Arial"/>
          <w:b w:val="0"/>
          <w:i w:val="0"/>
          <w:sz w:val="20"/>
        </w:rPr>
        <w:t>Fonte: elaboração dos autores a partir da exportação preservada e da análise reproduzível das sessões formais (2026).</w:t>
      </w:r>
    </w:p>
    <w:p>
      <w:pPr>
        <w:spacing w:before="0" w:after="120" w:line="360" w:lineRule="auto"/>
        <w:ind w:firstLine="709"/>
        <w:jc w:val="both"/>
      </w:pPr>
      <w:r>
        <w:rPr>
          <w:rFonts w:ascii="Arial" w:hAnsi="Arial" w:eastAsia="Arial"/>
          <w:b w:val="0"/>
          <w:i w:val="0"/>
          <w:sz w:val="24"/>
        </w:rPr>
        <w:t xml:space="preserve">Cada sessão superou o critério de completude de 95%. A regularidade apresentou P95 de 0 s nas três janelas, e a latência P95 até a API permaneceu abaixo de 5 s. As cinco lacunas foram preservadas como </w:t>
      </w:r>
      <w:r>
        <w:rPr>
          <w:rFonts w:ascii="Arial" w:hAnsi="Arial" w:eastAsia="Arial"/>
          <w:b w:val="0"/>
          <w:i w:val="0"/>
          <w:sz w:val="24"/>
        </w:rPr>
        <w:t>MISSING_SLOT</w:t>
      </w:r>
      <w:r>
        <w:rPr>
          <w:rFonts w:ascii="Arial" w:hAnsi="Arial" w:eastAsia="Arial"/>
          <w:b w:val="0"/>
          <w:i w:val="0"/>
          <w:sz w:val="24"/>
        </w:rPr>
        <w:t xml:space="preserve">; a maior sequência consecutiva de ausências foi de uma posição em cada sessão. Não houve imputação, colisão de posições ou tentativa de ingestão </w:t>
      </w:r>
      <w:r>
        <w:rPr>
          <w:rFonts w:ascii="Arial" w:hAnsi="Arial" w:eastAsia="Arial"/>
          <w:b w:val="0"/>
          <w:i w:val="0"/>
          <w:sz w:val="24"/>
        </w:rPr>
        <w:t>ALREADY_STORED</w:t>
      </w:r>
      <w:r>
        <w:rPr>
          <w:rFonts w:ascii="Arial" w:hAnsi="Arial" w:eastAsia="Arial"/>
          <w:b w:val="0"/>
          <w:i w:val="0"/>
          <w:sz w:val="24"/>
        </w:rPr>
        <w:t xml:space="preserve"> nos subconjuntos formais analisados.</w:t>
      </w:r>
    </w:p>
    <w:p>
      <w:pPr>
        <w:spacing w:before="0" w:after="120" w:line="360" w:lineRule="auto"/>
        <w:ind w:firstLine="709"/>
        <w:jc w:val="both"/>
      </w:pPr>
      <w:r>
        <w:rPr>
          <w:rFonts w:ascii="Arial" w:hAnsi="Arial" w:eastAsia="Arial"/>
          <w:b w:val="0"/>
          <w:i w:val="0"/>
          <w:sz w:val="24"/>
        </w:rPr>
        <w:t xml:space="preserve">A telemetria registrada nas janelas apresentou fila máxima de 0/256. O contador de perdas permaneceu em 1, valor já existente antes das sessões formais, sem nova perda telemetrizada. Na terceira sessão ocorreu troca de fonte de energia, com novo </w:t>
      </w:r>
      <w:r>
        <w:rPr>
          <w:rFonts w:ascii="Arial" w:hAnsi="Arial" w:eastAsia="Arial"/>
          <w:b w:val="0"/>
          <w:i w:val="0"/>
          <w:sz w:val="24"/>
        </w:rPr>
        <w:t>boot_id</w:t>
      </w:r>
      <w:r>
        <w:rPr>
          <w:rFonts w:ascii="Arial" w:hAnsi="Arial" w:eastAsia="Arial"/>
          <w:b w:val="0"/>
          <w:i w:val="0"/>
          <w:sz w:val="24"/>
        </w:rPr>
        <w:t xml:space="preserve">; o nó retornou </w:t>
      </w:r>
      <w:r>
        <w:rPr>
          <w:rFonts w:ascii="Arial" w:hAnsi="Arial" w:eastAsia="Arial"/>
          <w:b w:val="0"/>
          <w:i w:val="0"/>
          <w:sz w:val="24"/>
        </w:rPr>
        <w:t>ONLINE</w:t>
      </w:r>
      <w:r>
        <w:rPr>
          <w:rFonts w:ascii="Arial" w:hAnsi="Arial" w:eastAsia="Arial"/>
          <w:b w:val="0"/>
          <w:i w:val="0"/>
          <w:sz w:val="24"/>
        </w:rPr>
        <w:t>, com relógio sincronizado e fila vazia. O evento foi mantido no diário e a lacuna correspondente não foi removida da apuração.</w:t>
      </w:r>
    </w:p>
    <w:p>
      <w:pPr>
        <w:pStyle w:val="Ttulo2"/>
        <w:spacing w:before="120" w:after="120" w:line="360" w:lineRule="auto"/>
        <w:jc w:val="left"/>
      </w:pPr>
      <w:r>
        <w:rPr>
          <w:rFonts w:ascii="Arial" w:hAnsi="Arial" w:eastAsia="Arial"/>
          <w:b/>
          <w:i w:val="0"/>
          <w:sz w:val="24"/>
        </w:rPr>
        <w:t>5.4 API, banco de dados e visualização</w:t>
      </w:r>
    </w:p>
    <w:p>
      <w:pPr>
        <w:spacing w:before="0" w:after="120" w:line="360" w:lineRule="auto"/>
        <w:ind w:firstLine="709"/>
        <w:jc w:val="both"/>
      </w:pPr>
      <w:r>
        <w:rPr>
          <w:rFonts w:ascii="Arial" w:hAnsi="Arial" w:eastAsia="Arial"/>
          <w:b w:val="0"/>
          <w:i w:val="0"/>
          <w:sz w:val="24"/>
        </w:rPr>
        <w:t>O teste local controlado da API havia aprovado 111 casos, sem resposta 5xx e com P95 interno de 149,558 ms. A auditoria do banco encontrou correspondência integral em 100 registros controlados, sem duplicidade canônica. Nas sessões formais, os 1.609 registros dentro das janelas analisadas também apresentaram identificadores únicos.</w:t>
      </w:r>
    </w:p>
    <w:p>
      <w:pPr>
        <w:spacing w:before="0" w:after="120" w:line="360" w:lineRule="auto"/>
        <w:ind w:firstLine="709"/>
        <w:jc w:val="both"/>
      </w:pPr>
      <w:r>
        <w:rPr>
          <w:rFonts w:ascii="Arial" w:hAnsi="Arial" w:eastAsia="Arial"/>
          <w:b w:val="0"/>
          <w:i w:val="0"/>
          <w:sz w:val="24"/>
        </w:rPr>
        <w:t>O ensaio T007, realizado com nó físico e rede real em 15 de outubro de 2026, mostrou 20 de 20 medições válidas e sincronizadas no dashboard autenticado. O P95 entre a leitura e a resposta HTML renderizada solicitada foi de 6.173 ms. A atualização visual periódica do navegador não foi cronometrada isoladamente; portanto, esse dado não é usado para afirmar a latência ponta a ponta completa do navegador.</w:t>
      </w:r>
    </w:p>
    <w:p>
      <w:pPr>
        <w:pStyle w:val="Ttulo2"/>
        <w:spacing w:before="120" w:after="120" w:line="360" w:lineRule="auto"/>
        <w:jc w:val="left"/>
      </w:pPr>
      <w:r>
        <w:rPr>
          <w:rFonts w:ascii="Arial" w:hAnsi="Arial" w:eastAsia="Arial"/>
          <w:b/>
          <w:i w:val="0"/>
          <w:sz w:val="24"/>
        </w:rPr>
        <w:t>5.5 Tratamento de falhas e reprodutibilidade</w:t>
      </w:r>
    </w:p>
    <w:p>
      <w:pPr>
        <w:spacing w:before="0" w:after="120" w:line="360" w:lineRule="auto"/>
        <w:ind w:firstLine="709"/>
        <w:jc w:val="both"/>
      </w:pPr>
      <w:r>
        <w:rPr>
          <w:rFonts w:ascii="Arial" w:hAnsi="Arial" w:eastAsia="Arial"/>
          <w:b w:val="0"/>
          <w:i w:val="0"/>
          <w:sz w:val="24"/>
        </w:rPr>
        <w:t>O motor de análise T012 foi executado inicialmente com dados controlados e, após as sessões formais, aplicado à exportação real. O pipeline preservou a entrada bruta, registrou o checksum, produziu subconjuntos operacionais, classificações e arquivos de lacunas para cada execução. A reconciliação manteve a regra de janela semiaberta e a associação ao instante esperado mais próximo, sem modificar valores de origem.</w:t>
      </w:r>
    </w:p>
    <w:p>
      <w:pPr>
        <w:pStyle w:val="Ttulo2"/>
        <w:spacing w:before="120" w:after="120" w:line="360" w:lineRule="auto"/>
        <w:jc w:val="left"/>
      </w:pPr>
      <w:r>
        <w:rPr>
          <w:rFonts w:ascii="Arial" w:hAnsi="Arial" w:eastAsia="Arial"/>
          <w:b/>
          <w:i w:val="0"/>
          <w:sz w:val="24"/>
        </w:rPr>
        <w:t>5.6 Custo observado do protótipo</w:t>
      </w:r>
    </w:p>
    <w:p>
      <w:pPr>
        <w:spacing w:before="0" w:after="120" w:line="360" w:lineRule="auto"/>
        <w:ind w:firstLine="709"/>
        <w:jc w:val="both"/>
      </w:pPr>
      <w:r>
        <w:rPr>
          <w:rFonts w:ascii="Arial" w:hAnsi="Arial" w:eastAsia="Arial"/>
          <w:b w:val="0"/>
          <w:i w:val="0"/>
          <w:sz w:val="24"/>
        </w:rPr>
        <w:t>Os seis pedidos de componentes foram pagos em 28 de agosto de 2026 e totalizaram R$ 125,98, incluindo os valores de frete, tributos e demais encargos exibidos nos pedidos. A apuração utiliza o gasto efetivamente realizado, documentado nas capturas dos pedidos, e não preços atuais de anúncios.</w:t>
      </w:r>
    </w:p>
    <w:p>
      <w:pPr>
        <w:spacing w:before="120" w:after="40" w:line="240" w:lineRule="auto"/>
        <w:jc w:val="left"/>
      </w:pPr>
      <w:r>
        <w:rPr>
          <w:rFonts w:ascii="Arial" w:hAnsi="Arial" w:eastAsia="Arial"/>
          <w:b/>
          <w:i w:val="0"/>
          <w:sz w:val="20"/>
        </w:rPr>
        <w:t>Tabela 2 — Custo de aquisição dos componentes do protótipo.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before="0" w:after="0" w:line="240" w:lineRule="auto"/>
              <w:jc w:val="center"/>
            </w:pPr>
            <w:r>
              <w:rPr>
                <w:rFonts w:ascii="Arial" w:hAnsi="Arial" w:eastAsia="Arial"/>
                <w:b/>
                <w:i w:val="0"/>
                <w:sz w:val="18"/>
              </w:rPr>
              <w:t>Item</w:t>
            </w:r>
          </w:p>
        </w:tc>
        <w:tc>
          <w:tcPr>
            <w:tcW w:type="dxa" w:w="3024"/>
          </w:tcPr>
          <w:p>
            <w:pPr>
              <w:spacing w:before="0" w:after="0" w:line="240" w:lineRule="auto"/>
              <w:jc w:val="center"/>
            </w:pPr>
            <w:r>
              <w:rPr>
                <w:rFonts w:ascii="Arial" w:hAnsi="Arial" w:eastAsia="Arial"/>
                <w:b/>
                <w:i w:val="0"/>
                <w:sz w:val="18"/>
              </w:rPr>
              <w:t>Quantidade adquirida</w:t>
            </w:r>
          </w:p>
        </w:tc>
        <w:tc>
          <w:tcPr>
            <w:tcW w:type="dxa" w:w="3024"/>
          </w:tcPr>
          <w:p>
            <w:pPr>
              <w:spacing w:before="0" w:after="0" w:line="240" w:lineRule="auto"/>
              <w:jc w:val="center"/>
            </w:pPr>
            <w:r>
              <w:rPr>
                <w:rFonts w:ascii="Arial" w:hAnsi="Arial" w:eastAsia="Arial"/>
                <w:b/>
                <w:i w:val="0"/>
                <w:sz w:val="18"/>
              </w:rPr>
              <w:t>Valor pago</w:t>
            </w:r>
          </w:p>
        </w:tc>
      </w:tr>
      <w:tr>
        <w:tc>
          <w:tcPr>
            <w:tcW w:type="dxa" w:w="3024"/>
          </w:tcPr>
          <w:p>
            <w:pPr>
              <w:spacing w:before="0" w:after="0" w:line="240" w:lineRule="auto"/>
              <w:jc w:val="left"/>
            </w:pPr>
            <w:r>
              <w:rPr>
                <w:rFonts w:ascii="Arial" w:hAnsi="Arial" w:eastAsia="Arial"/>
                <w:b w:val="0"/>
                <w:i w:val="0"/>
                <w:sz w:val="18"/>
              </w:rPr>
              <w:t>Placa de desenvolvimento ESP32-WROOM-32D-38P</w:t>
            </w:r>
          </w:p>
        </w:tc>
        <w:tc>
          <w:tcPr>
            <w:tcW w:type="dxa" w:w="3024"/>
          </w:tcPr>
          <w:p>
            <w:pPr>
              <w:spacing w:before="0" w:after="0" w:line="240" w:lineRule="auto"/>
              <w:jc w:val="left"/>
            </w:pPr>
            <w:r>
              <w:rPr>
                <w:rFonts w:ascii="Arial" w:hAnsi="Arial" w:eastAsia="Arial"/>
                <w:b w:val="0"/>
                <w:i w:val="0"/>
                <w:sz w:val="18"/>
              </w:rPr>
              <w:t>2</w:t>
            </w:r>
          </w:p>
        </w:tc>
        <w:tc>
          <w:tcPr>
            <w:tcW w:type="dxa" w:w="3024"/>
          </w:tcPr>
          <w:p>
            <w:pPr>
              <w:spacing w:before="0" w:after="0" w:line="240" w:lineRule="auto"/>
              <w:jc w:val="left"/>
            </w:pPr>
            <w:r>
              <w:rPr>
                <w:rFonts w:ascii="Arial" w:hAnsi="Arial" w:eastAsia="Arial"/>
                <w:b w:val="0"/>
                <w:i w:val="0"/>
                <w:sz w:val="18"/>
              </w:rPr>
              <w:t>R$ 52,48</w:t>
            </w:r>
          </w:p>
        </w:tc>
      </w:tr>
      <w:tr>
        <w:tc>
          <w:tcPr>
            <w:tcW w:type="dxa" w:w="3024"/>
          </w:tcPr>
          <w:p>
            <w:pPr>
              <w:spacing w:before="0" w:after="0" w:line="240" w:lineRule="auto"/>
              <w:jc w:val="left"/>
            </w:pPr>
            <w:r>
              <w:rPr>
                <w:rFonts w:ascii="Arial" w:hAnsi="Arial" w:eastAsia="Arial"/>
                <w:b w:val="0"/>
                <w:i w:val="0"/>
                <w:sz w:val="18"/>
              </w:rPr>
              <w:t>Módulo SHT31</w:t>
            </w:r>
          </w:p>
        </w:tc>
        <w:tc>
          <w:tcPr>
            <w:tcW w:type="dxa" w:w="3024"/>
          </w:tcPr>
          <w:p>
            <w:pPr>
              <w:spacing w:before="0" w:after="0" w:line="240" w:lineRule="auto"/>
              <w:jc w:val="left"/>
            </w:pPr>
            <w:r>
              <w:rPr>
                <w:rFonts w:ascii="Arial" w:hAnsi="Arial" w:eastAsia="Arial"/>
                <w:b w:val="0"/>
                <w:i w:val="0"/>
                <w:sz w:val="18"/>
              </w:rPr>
              <w:t>1</w:t>
            </w:r>
          </w:p>
        </w:tc>
        <w:tc>
          <w:tcPr>
            <w:tcW w:type="dxa" w:w="3024"/>
          </w:tcPr>
          <w:p>
            <w:pPr>
              <w:spacing w:before="0" w:after="0" w:line="240" w:lineRule="auto"/>
              <w:jc w:val="left"/>
            </w:pPr>
            <w:r>
              <w:rPr>
                <w:rFonts w:ascii="Arial" w:hAnsi="Arial" w:eastAsia="Arial"/>
                <w:b w:val="0"/>
                <w:i w:val="0"/>
                <w:sz w:val="18"/>
              </w:rPr>
              <w:t>R$ 17,92</w:t>
            </w:r>
          </w:p>
        </w:tc>
      </w:tr>
      <w:tr>
        <w:tc>
          <w:tcPr>
            <w:tcW w:type="dxa" w:w="3024"/>
          </w:tcPr>
          <w:p>
            <w:pPr>
              <w:spacing w:before="0" w:after="0" w:line="240" w:lineRule="auto"/>
              <w:jc w:val="left"/>
            </w:pPr>
            <w:r>
              <w:rPr>
                <w:rFonts w:ascii="Arial" w:hAnsi="Arial" w:eastAsia="Arial"/>
                <w:b w:val="0"/>
                <w:i w:val="0"/>
                <w:sz w:val="18"/>
              </w:rPr>
              <w:t>Módulo VEML7700</w:t>
            </w:r>
          </w:p>
        </w:tc>
        <w:tc>
          <w:tcPr>
            <w:tcW w:type="dxa" w:w="3024"/>
          </w:tcPr>
          <w:p>
            <w:pPr>
              <w:spacing w:before="0" w:after="0" w:line="240" w:lineRule="auto"/>
              <w:jc w:val="left"/>
            </w:pPr>
            <w:r>
              <w:rPr>
                <w:rFonts w:ascii="Arial" w:hAnsi="Arial" w:eastAsia="Arial"/>
                <w:b w:val="0"/>
                <w:i w:val="0"/>
                <w:sz w:val="18"/>
              </w:rPr>
              <w:t>1</w:t>
            </w:r>
          </w:p>
        </w:tc>
        <w:tc>
          <w:tcPr>
            <w:tcW w:type="dxa" w:w="3024"/>
          </w:tcPr>
          <w:p>
            <w:pPr>
              <w:spacing w:before="0" w:after="0" w:line="240" w:lineRule="auto"/>
              <w:jc w:val="left"/>
            </w:pPr>
            <w:r>
              <w:rPr>
                <w:rFonts w:ascii="Arial" w:hAnsi="Arial" w:eastAsia="Arial"/>
                <w:b w:val="0"/>
                <w:i w:val="0"/>
                <w:sz w:val="18"/>
              </w:rPr>
              <w:t>R$ 10,18</w:t>
            </w:r>
          </w:p>
        </w:tc>
      </w:tr>
      <w:tr>
        <w:tc>
          <w:tcPr>
            <w:tcW w:type="dxa" w:w="3024"/>
          </w:tcPr>
          <w:p>
            <w:pPr>
              <w:spacing w:before="0" w:after="0" w:line="240" w:lineRule="auto"/>
              <w:jc w:val="left"/>
            </w:pPr>
            <w:r>
              <w:rPr>
                <w:rFonts w:ascii="Arial" w:hAnsi="Arial" w:eastAsia="Arial"/>
                <w:b w:val="0"/>
                <w:i w:val="0"/>
                <w:sz w:val="18"/>
              </w:rPr>
              <w:t>Cabo USB de dados</w:t>
            </w:r>
          </w:p>
        </w:tc>
        <w:tc>
          <w:tcPr>
            <w:tcW w:type="dxa" w:w="3024"/>
          </w:tcPr>
          <w:p>
            <w:pPr>
              <w:spacing w:before="0" w:after="0" w:line="240" w:lineRule="auto"/>
              <w:jc w:val="left"/>
            </w:pPr>
            <w:r>
              <w:rPr>
                <w:rFonts w:ascii="Arial" w:hAnsi="Arial" w:eastAsia="Arial"/>
                <w:b w:val="0"/>
                <w:i w:val="0"/>
                <w:sz w:val="18"/>
              </w:rPr>
              <w:t>1</w:t>
            </w:r>
          </w:p>
        </w:tc>
        <w:tc>
          <w:tcPr>
            <w:tcW w:type="dxa" w:w="3024"/>
          </w:tcPr>
          <w:p>
            <w:pPr>
              <w:spacing w:before="0" w:after="0" w:line="240" w:lineRule="auto"/>
              <w:jc w:val="left"/>
            </w:pPr>
            <w:r>
              <w:rPr>
                <w:rFonts w:ascii="Arial" w:hAnsi="Arial" w:eastAsia="Arial"/>
                <w:b w:val="0"/>
                <w:i w:val="0"/>
                <w:sz w:val="18"/>
              </w:rPr>
              <w:t>R$ 14,69</w:t>
            </w:r>
          </w:p>
        </w:tc>
      </w:tr>
      <w:tr>
        <w:tc>
          <w:tcPr>
            <w:tcW w:type="dxa" w:w="3024"/>
          </w:tcPr>
          <w:p>
            <w:pPr>
              <w:spacing w:before="0" w:after="0" w:line="240" w:lineRule="auto"/>
              <w:jc w:val="left"/>
            </w:pPr>
            <w:r>
              <w:rPr>
                <w:rFonts w:ascii="Arial" w:hAnsi="Arial" w:eastAsia="Arial"/>
                <w:b w:val="0"/>
                <w:i w:val="0"/>
                <w:sz w:val="18"/>
              </w:rPr>
              <w:t>Protoboard MB102</w:t>
            </w:r>
          </w:p>
        </w:tc>
        <w:tc>
          <w:tcPr>
            <w:tcW w:type="dxa" w:w="3024"/>
          </w:tcPr>
          <w:p>
            <w:pPr>
              <w:spacing w:before="0" w:after="0" w:line="240" w:lineRule="auto"/>
              <w:jc w:val="left"/>
            </w:pPr>
            <w:r>
              <w:rPr>
                <w:rFonts w:ascii="Arial" w:hAnsi="Arial" w:eastAsia="Arial"/>
                <w:b w:val="0"/>
                <w:i w:val="0"/>
                <w:sz w:val="18"/>
              </w:rPr>
              <w:t>1</w:t>
            </w:r>
          </w:p>
        </w:tc>
        <w:tc>
          <w:tcPr>
            <w:tcW w:type="dxa" w:w="3024"/>
          </w:tcPr>
          <w:p>
            <w:pPr>
              <w:spacing w:before="0" w:after="0" w:line="240" w:lineRule="auto"/>
              <w:jc w:val="left"/>
            </w:pPr>
            <w:r>
              <w:rPr>
                <w:rFonts w:ascii="Arial" w:hAnsi="Arial" w:eastAsia="Arial"/>
                <w:b w:val="0"/>
                <w:i w:val="0"/>
                <w:sz w:val="18"/>
              </w:rPr>
              <w:t>R$ 15,19</w:t>
            </w:r>
          </w:p>
        </w:tc>
      </w:tr>
      <w:tr>
        <w:tc>
          <w:tcPr>
            <w:tcW w:type="dxa" w:w="3024"/>
          </w:tcPr>
          <w:p>
            <w:pPr>
              <w:spacing w:before="0" w:after="0" w:line="240" w:lineRule="auto"/>
              <w:jc w:val="left"/>
            </w:pPr>
            <w:r>
              <w:rPr>
                <w:rFonts w:ascii="Arial" w:hAnsi="Arial" w:eastAsia="Arial"/>
                <w:b w:val="0"/>
                <w:i w:val="0"/>
                <w:sz w:val="18"/>
              </w:rPr>
              <w:t>Kit de jumpers Dupont</w:t>
            </w:r>
          </w:p>
        </w:tc>
        <w:tc>
          <w:tcPr>
            <w:tcW w:type="dxa" w:w="3024"/>
          </w:tcPr>
          <w:p>
            <w:pPr>
              <w:spacing w:before="0" w:after="0" w:line="240" w:lineRule="auto"/>
              <w:jc w:val="left"/>
            </w:pPr>
            <w:r>
              <w:rPr>
                <w:rFonts w:ascii="Arial" w:hAnsi="Arial" w:eastAsia="Arial"/>
                <w:b w:val="0"/>
                <w:i w:val="0"/>
                <w:sz w:val="18"/>
              </w:rPr>
              <w:t>1</w:t>
            </w:r>
          </w:p>
        </w:tc>
        <w:tc>
          <w:tcPr>
            <w:tcW w:type="dxa" w:w="3024"/>
          </w:tcPr>
          <w:p>
            <w:pPr>
              <w:spacing w:before="0" w:after="0" w:line="240" w:lineRule="auto"/>
              <w:jc w:val="left"/>
            </w:pPr>
            <w:r>
              <w:rPr>
                <w:rFonts w:ascii="Arial" w:hAnsi="Arial" w:eastAsia="Arial"/>
                <w:b w:val="0"/>
                <w:i w:val="0"/>
                <w:sz w:val="18"/>
              </w:rPr>
              <w:t>R$ 15,52</w:t>
            </w:r>
          </w:p>
        </w:tc>
      </w:tr>
      <w:tr>
        <w:tc>
          <w:tcPr>
            <w:tcW w:type="dxa" w:w="3024"/>
          </w:tcPr>
          <w:p>
            <w:pPr>
              <w:spacing w:before="0" w:after="0" w:line="240" w:lineRule="auto"/>
              <w:jc w:val="left"/>
            </w:pPr>
            <w:r>
              <w:rPr>
                <w:rFonts w:ascii="Arial" w:hAnsi="Arial" w:eastAsia="Arial"/>
                <w:b/>
                <w:i w:val="0"/>
                <w:sz w:val="18"/>
              </w:rPr>
              <w:t>Total da aquisição</w:t>
            </w:r>
          </w:p>
        </w:tc>
        <w:tc>
          <w:tcPr>
            <w:tcW w:type="dxa" w:w="3024"/>
          </w:tcPr>
          <w:p>
            <w:pPr>
              <w:spacing w:before="0" w:after="0" w:line="240" w:lineRule="auto"/>
              <w:jc w:val="left"/>
            </w:pPr>
          </w:p>
        </w:tc>
        <w:tc>
          <w:tcPr>
            <w:tcW w:type="dxa" w:w="3024"/>
          </w:tcPr>
          <w:p>
            <w:pPr>
              <w:spacing w:before="0" w:after="0" w:line="240" w:lineRule="auto"/>
              <w:jc w:val="left"/>
            </w:pPr>
            <w:r>
              <w:rPr>
                <w:rFonts w:ascii="Arial" w:hAnsi="Arial" w:eastAsia="Arial"/>
                <w:b/>
                <w:i w:val="0"/>
                <w:sz w:val="18"/>
              </w:rPr>
              <w:t>R$ 125,98</w:t>
            </w:r>
          </w:p>
        </w:tc>
      </w:tr>
    </w:tbl>
    <w:p/>
    <w:p>
      <w:pPr>
        <w:spacing w:before="0" w:after="120" w:line="240" w:lineRule="auto"/>
        <w:jc w:val="left"/>
      </w:pPr>
      <w:r>
        <w:rPr>
          <w:rFonts w:ascii="Arial" w:hAnsi="Arial" w:eastAsia="Arial"/>
          <w:b w:val="0"/>
          <w:i w:val="0"/>
          <w:sz w:val="20"/>
        </w:rPr>
        <w:t>Fonte: elaborada pelos autores a partir dos pedidos pagos em 28 ago. 2026.</w:t>
      </w:r>
    </w:p>
    <w:p>
      <w:pPr>
        <w:spacing w:before="0" w:after="120" w:line="360" w:lineRule="auto"/>
        <w:ind w:firstLine="709"/>
        <w:jc w:val="both"/>
      </w:pPr>
      <w:r>
        <w:rPr>
          <w:rFonts w:ascii="Arial" w:hAnsi="Arial" w:eastAsia="Arial"/>
          <w:b w:val="0"/>
          <w:i w:val="0"/>
          <w:sz w:val="24"/>
        </w:rPr>
        <w:t>Como o pedido incluiu duas placas ESP32 e uma foi mantida como reserva, o conjunto principal de uma unidade — uma placa, SHT31 e VEML7700 — corresponde a R$ 54,34. Ao atribuir também o cabo, a protoboard e os jumpers utilizados na montagem de bancada, o valor observado da unidade experimental é R$ 99,74. Esses valores não correspondem ao custo de um produto pronto para implantação: não incluem fonte de operação, encapsulamento, computador, internet, energia, mão de obra ou infraestrutura já disponível. Assim, a expressão “baixo custo” é delimitada ao gasto observado no protótipo de bancada, sem afirmar comparação universal de mercado.</w:t>
      </w:r>
    </w:p>
    <w:p>
      <w:pPr>
        <w:pStyle w:val="Ttulo2"/>
        <w:spacing w:before="120" w:after="120" w:line="360" w:lineRule="auto"/>
        <w:jc w:val="left"/>
      </w:pPr>
      <w:r>
        <w:rPr>
          <w:rFonts w:ascii="Arial" w:hAnsi="Arial" w:eastAsia="Arial"/>
          <w:b/>
          <w:i w:val="0"/>
          <w:sz w:val="24"/>
        </w:rPr>
        <w:t>5.7 Limitações</w:t>
      </w:r>
    </w:p>
    <w:p>
      <w:pPr>
        <w:spacing w:before="0" w:after="120" w:line="360" w:lineRule="auto"/>
        <w:ind w:firstLine="709"/>
        <w:jc w:val="both"/>
      </w:pPr>
      <w:r>
        <w:rPr>
          <w:rFonts w:ascii="Arial" w:hAnsi="Arial" w:eastAsia="Arial"/>
          <w:b w:val="0"/>
          <w:i w:val="0"/>
          <w:sz w:val="24"/>
        </w:rPr>
        <w:t>As sessões formais avaliaram estabilidade operacional em local de trabalho de um dos autores; não caracterizam ambientalmente esse local nem substituem as evidências físicas prévias obtidas em sala de aula. A disponibilidade foi acompanhada por telemetria e continuidade dos registros, mas não foi medida por instrumento externo de uptime. A avaliação dos sensores permaneceu funcional por ausência de referência adequada. Consequentemente, o estudo não sustenta alegações de exatidão, calibração, conforto, conformidade ambiental ou impacto na gestão.</w:t>
      </w:r>
    </w:p>
    <w:p>
      <w:pPr>
        <w:pStyle w:val="Ttulo2"/>
        <w:spacing w:before="120" w:after="120" w:line="360" w:lineRule="auto"/>
        <w:jc w:val="left"/>
      </w:pPr>
      <w:r>
        <w:rPr>
          <w:rFonts w:ascii="Arial" w:hAnsi="Arial" w:eastAsia="Arial"/>
          <w:b/>
          <w:i w:val="0"/>
          <w:sz w:val="24"/>
        </w:rPr>
        <w:t>5.8 Resposta à pergunta de pesquisa</w:t>
      </w:r>
    </w:p>
    <w:p>
      <w:pPr>
        <w:spacing w:before="0" w:after="120" w:line="360" w:lineRule="auto"/>
        <w:ind w:firstLine="709"/>
        <w:jc w:val="both"/>
      </w:pPr>
      <w:r>
        <w:rPr>
          <w:rFonts w:ascii="Arial" w:hAnsi="Arial" w:eastAsia="Arial"/>
          <w:b w:val="0"/>
          <w:i w:val="0"/>
          <w:sz w:val="24"/>
        </w:rPr>
        <w:t>No recorte técnico avaliado, o sistema atendeu aos requisitos de aquisição, identificação temporal, transmissão, persistência e consulta das medições durante três sessões formais de ao menos oito horas. As métricas de completude, regularidade, sincronização, latência até a API, integridade dos identificadores e fila registrada sustentam essa conclusão para a cadeia implementada. O atendimento não se estende à exatidão metrológica dos sensores, à disponibilidade medida externamente, à conformidade ambiental ou à utilidade com gestores.</w:t>
      </w:r>
    </w:p>
    <w:p>
      <w:r>
        <w:br w:type="page"/>
      </w:r>
    </w:p>
    <w:p>
      <w:pPr>
        <w:pStyle w:val="Ttulo1"/>
        <w:spacing w:before="240" w:after="120" w:line="360" w:lineRule="auto"/>
        <w:jc w:val="left"/>
      </w:pPr>
      <w:r>
        <w:rPr>
          <w:rFonts w:ascii="Arial" w:hAnsi="Arial" w:eastAsia="Arial"/>
          <w:b/>
          <w:i w:val="0"/>
          <w:sz w:val="24"/>
        </w:rPr>
        <w:t>6 Considerações finais</w:t>
      </w:r>
    </w:p>
    <w:p>
      <w:pPr>
        <w:spacing w:before="0" w:after="120" w:line="360" w:lineRule="auto"/>
        <w:ind w:firstLine="709"/>
        <w:jc w:val="both"/>
      </w:pPr>
      <w:r>
        <w:rPr>
          <w:rFonts w:ascii="Arial" w:hAnsi="Arial" w:eastAsia="Arial"/>
          <w:b w:val="0"/>
          <w:i w:val="0"/>
          <w:sz w:val="24"/>
        </w:rPr>
        <w:t>Este trabalho desenvolveu e avaliou tecnicamente um sistema IoT de baixo custo para registrar temperatura do ar, umidade relativa e iluminância, integrando nó físico, firmware, comunicação HTTP/JSON, API, MySQL, dashboard, relatórios e telemetria operacional.</w:t>
      </w:r>
    </w:p>
    <w:p>
      <w:pPr>
        <w:pStyle w:val="Ttulo2"/>
        <w:spacing w:before="120" w:after="120" w:line="360" w:lineRule="auto"/>
        <w:jc w:val="left"/>
      </w:pPr>
      <w:r>
        <w:rPr>
          <w:rFonts w:ascii="Arial" w:hAnsi="Arial" w:eastAsia="Arial"/>
          <w:b/>
          <w:i w:val="0"/>
          <w:sz w:val="24"/>
        </w:rPr>
        <w:t>6.1 Síntese e resposta à pergunta de pesquisa</w:t>
      </w:r>
    </w:p>
    <w:p>
      <w:pPr>
        <w:spacing w:before="0" w:after="120" w:line="360" w:lineRule="auto"/>
        <w:ind w:firstLine="709"/>
        <w:jc w:val="both"/>
      </w:pPr>
      <w:r>
        <w:rPr>
          <w:rFonts w:ascii="Arial" w:hAnsi="Arial" w:eastAsia="Arial"/>
          <w:b w:val="0"/>
          <w:i w:val="0"/>
          <w:sz w:val="24"/>
        </w:rPr>
        <w:t>A pergunta de pesquisa investigou em que medida o sistema atende aos requisitos técnicos de aquisição, transmissão, armazenamento e visualização dos dados. A evidência obtida indica atendimento técnico para a cadeia avaliada. Nas três sessões formais, totalizando 26 h 52 min 31 s, foram armazenadas 1.609 das 1.614 posições esperadas, com completude acumulada de 99,690%. Todas as medições dentro das janelas foram sincronizadas e plenamente válidas; o P95 do erro de intervalo foi de 0 s em cada sessão e o P95 de latência até a API variou entre 2,353 s e 2,606 s.</w:t>
      </w:r>
    </w:p>
    <w:p>
      <w:pPr>
        <w:spacing w:before="0" w:after="120" w:line="360" w:lineRule="auto"/>
        <w:ind w:firstLine="709"/>
        <w:jc w:val="both"/>
      </w:pPr>
      <w:r>
        <w:rPr>
          <w:rFonts w:ascii="Arial" w:hAnsi="Arial" w:eastAsia="Arial"/>
          <w:b w:val="0"/>
          <w:i w:val="0"/>
          <w:sz w:val="24"/>
        </w:rPr>
        <w:t>O sistema também preservou identificadores únicos, telemetria de fila e eventos operacionais. A troca de fonte de energia observada na terceira sessão gerou reinicialização rastreável e não ocultou a lacuna correspondente. Assim, a contribuição demonstrada é a implementação e a validação funcional/técnica ponta a ponta do protótipo, com rastreabilidade suficiente para apuração reproduzível.</w:t>
      </w:r>
    </w:p>
    <w:p>
      <w:pPr>
        <w:pStyle w:val="Ttulo2"/>
        <w:spacing w:before="120" w:after="120" w:line="360" w:lineRule="auto"/>
        <w:jc w:val="left"/>
      </w:pPr>
      <w:r>
        <w:rPr>
          <w:rFonts w:ascii="Arial" w:hAnsi="Arial" w:eastAsia="Arial"/>
          <w:b/>
          <w:i w:val="0"/>
          <w:sz w:val="24"/>
        </w:rPr>
        <w:t>6.2 Atendimento aos objetivos</w:t>
      </w:r>
    </w:p>
    <w:p>
      <w:pPr>
        <w:spacing w:before="0" w:after="120" w:line="360" w:lineRule="auto"/>
        <w:ind w:firstLine="709"/>
        <w:jc w:val="both"/>
      </w:pPr>
      <w:r>
        <w:rPr>
          <w:rFonts w:ascii="Arial" w:hAnsi="Arial" w:eastAsia="Arial"/>
          <w:b w:val="0"/>
          <w:i w:val="0"/>
          <w:sz w:val="24"/>
        </w:rPr>
        <w:t>Foram desenvolvidos o nó IoT, o firmware com fila persistente, a API idempotente, o banco relacional e a aplicação web com consulta, histórico, relatórios e alertas locais não normativos. Os requisitos e critérios de avaliação foram definidos antes das sessões formais. A cadeia ponta a ponta foi avaliada nas três execuções e nos ensaios complementares de API, banco, dashboard e recuperação de fila.</w:t>
      </w:r>
    </w:p>
    <w:p>
      <w:pPr>
        <w:spacing w:before="0" w:after="120" w:line="360" w:lineRule="auto"/>
        <w:ind w:firstLine="709"/>
        <w:jc w:val="both"/>
      </w:pPr>
      <w:r>
        <w:rPr>
          <w:rFonts w:ascii="Arial" w:hAnsi="Arial" w:eastAsia="Arial"/>
          <w:b w:val="0"/>
          <w:i w:val="0"/>
          <w:sz w:val="24"/>
        </w:rPr>
        <w:t>A avaliação dos sensores deve ser entendida como funcional. As leituras foram adquiridas, transmitidas e preservadas como válidas, porém não houve instrumento de referência para calcular métricas de exatidão ou calibração. Portanto, esse objetivo foi atendido somente no nível funcional delimitado pelo método.</w:t>
      </w:r>
    </w:p>
    <w:p>
      <w:pPr>
        <w:pStyle w:val="Ttulo2"/>
        <w:spacing w:before="120" w:after="120" w:line="360" w:lineRule="auto"/>
        <w:jc w:val="left"/>
      </w:pPr>
      <w:r>
        <w:rPr>
          <w:rFonts w:ascii="Arial" w:hAnsi="Arial" w:eastAsia="Arial"/>
          <w:b/>
          <w:i w:val="0"/>
          <w:sz w:val="24"/>
        </w:rPr>
        <w:t>6.3 Limitações e trabalhos futuros</w:t>
      </w:r>
    </w:p>
    <w:p>
      <w:pPr>
        <w:spacing w:before="0" w:after="120" w:line="360" w:lineRule="auto"/>
        <w:ind w:firstLine="709"/>
        <w:jc w:val="both"/>
      </w:pPr>
      <w:r>
        <w:rPr>
          <w:rFonts w:ascii="Arial" w:hAnsi="Arial" w:eastAsia="Arial"/>
          <w:b w:val="0"/>
          <w:i w:val="0"/>
          <w:sz w:val="24"/>
        </w:rPr>
        <w:t>As limitações incluem uma única unidade de cada componente, sessões formais realizadas fora da sala de aula, ausência de instrumento de referência, disponibilidade não medida por instrumento externo de uptime e ausência de avaliação com gestores. Não se conclui sobre conforto, conformidade ambiental, aprendizagem, qualidade ambiental global ou utilidade gerencial.</w:t>
      </w:r>
    </w:p>
    <w:p>
      <w:pPr>
        <w:spacing w:before="0" w:after="120" w:line="360" w:lineRule="auto"/>
        <w:ind w:firstLine="709"/>
        <w:jc w:val="both"/>
      </w:pPr>
      <w:r>
        <w:rPr>
          <w:rFonts w:ascii="Arial" w:hAnsi="Arial" w:eastAsia="Arial"/>
          <w:b w:val="0"/>
          <w:i w:val="0"/>
          <w:sz w:val="24"/>
        </w:rPr>
        <w:t>Como trabalhos futuros, recomendam-se repetição em outras salas e períodos, comparação com instrumentos de referência adequados, encapsulamento e apuração do custo de uma unidade pronta para implantação, hospedagem com credenciais rotacionáveis e backup, e avaliação da experiência de uso por gestores. Faixas de acompanhamento somente poderão ser discutidas como critérios ambientais após conferência das fontes técnicas originais aplicáveis.</w:t>
      </w:r>
    </w:p>
    <w:p>
      <w:r>
        <w:br w:type="page"/>
      </w:r>
    </w:p>
    <w:p>
      <w:pPr>
        <w:pStyle w:val="Ttulo1"/>
        <w:spacing w:before="240" w:after="120" w:line="360" w:lineRule="auto"/>
        <w:jc w:val="left"/>
      </w:pPr>
      <w:r>
        <w:rPr>
          <w:rFonts w:ascii="Arial" w:hAnsi="Arial" w:eastAsia="Arial"/>
          <w:b/>
          <w:i w:val="0"/>
          <w:sz w:val="24"/>
        </w:rPr>
        <w:t>REFERÊNCIAS</w:t>
      </w:r>
    </w:p>
    <w:p>
      <w:pPr>
        <w:spacing w:before="0" w:after="120" w:line="240" w:lineRule="auto"/>
        <w:ind w:left="0" w:firstLine="0"/>
        <w:jc w:val="left"/>
      </w:pPr>
      <w:r>
        <w:rPr>
          <w:rFonts w:ascii="Arial" w:hAnsi="Arial" w:eastAsia="Arial"/>
          <w:b w:val="0"/>
          <w:i w:val="0"/>
          <w:sz w:val="24"/>
        </w:rPr>
        <w:t xml:space="preserve">ASSOCIAÇÃO BRASILEIRA DE NORMAS TÉCNICAS. </w:t>
      </w:r>
      <w:r>
        <w:rPr>
          <w:rFonts w:ascii="Arial" w:hAnsi="Arial" w:eastAsia="Arial"/>
          <w:b w:val="0"/>
          <w:i/>
          <w:sz w:val="24"/>
        </w:rPr>
        <w:t>ABNT NBR 16401-2: instalações de ar-condicionado -- sistemas centrais e unitários -- Parte 2: parâmetros de conforto térmico</w:t>
      </w:r>
      <w:r>
        <w:rPr>
          <w:rFonts w:ascii="Arial" w:hAnsi="Arial" w:eastAsia="Arial"/>
          <w:b w:val="0"/>
          <w:i w:val="0"/>
          <w:sz w:val="24"/>
        </w:rPr>
        <w:t>. Rio de Janeiro: ABNT, 2008. Cópia fornecida pela UNIP e preservada no acervo do projeto. Conferida em: 31 ago. 2026.</w:t>
      </w:r>
    </w:p>
    <w:p>
      <w:pPr>
        <w:spacing w:before="0" w:after="120" w:line="240" w:lineRule="auto"/>
        <w:ind w:left="0" w:firstLine="0"/>
        <w:jc w:val="left"/>
      </w:pPr>
      <w:r>
        <w:rPr>
          <w:rFonts w:ascii="Arial" w:hAnsi="Arial" w:eastAsia="Arial"/>
          <w:b w:val="0"/>
          <w:i w:val="0"/>
          <w:sz w:val="24"/>
        </w:rPr>
        <w:t xml:space="preserve">BOTANA MARTINEZ, M. Pilar; VYAS, Priam Dinesh; WALSH, Katherine H.; MAIN, Lauren; BOLTON, Lauren; YUAN, Yirong; YAJIMA, Masanao; FABIAN, M. Patricia. Rethinking heat in thousands of school classrooms through continuous monitoring and novel exposure metrics. </w:t>
      </w:r>
      <w:r>
        <w:rPr>
          <w:rFonts w:ascii="Arial" w:hAnsi="Arial" w:eastAsia="Arial"/>
          <w:b w:val="0"/>
          <w:i/>
          <w:sz w:val="24"/>
        </w:rPr>
        <w:t>Indoor Environments</w:t>
      </w:r>
      <w:r>
        <w:rPr>
          <w:rFonts w:ascii="Arial" w:hAnsi="Arial" w:eastAsia="Arial"/>
          <w:b w:val="0"/>
          <w:i w:val="0"/>
          <w:sz w:val="24"/>
        </w:rPr>
        <w:t>, v. 2, n. 3, art. 100105, 2025. DOI: https://doi.org/10.1016/j.indenv.2025.100105. Disponível em: https://doi.org/10.1016/j.indenv.2025.100105. Acesso em: 26 ago. 2026.</w:t>
      </w:r>
    </w:p>
    <w:p>
      <w:pPr>
        <w:spacing w:before="0" w:after="120" w:line="240" w:lineRule="auto"/>
        <w:ind w:left="0" w:firstLine="0"/>
        <w:jc w:val="left"/>
      </w:pPr>
      <w:r>
        <w:rPr>
          <w:rFonts w:ascii="Arial" w:hAnsi="Arial" w:eastAsia="Arial"/>
          <w:b w:val="0"/>
          <w:i w:val="0"/>
          <w:sz w:val="24"/>
        </w:rPr>
        <w:t xml:space="preserve">FAGAN, Michael; MEGAS, Katerina; SCARFONE, Karen; SMITH, Matthew. </w:t>
      </w:r>
      <w:r>
        <w:rPr>
          <w:rFonts w:ascii="Arial" w:hAnsi="Arial" w:eastAsia="Arial"/>
          <w:b w:val="0"/>
          <w:i/>
          <w:sz w:val="24"/>
        </w:rPr>
        <w:t>IoT Device Cybersecurity Capability Core Baseline</w:t>
      </w:r>
      <w:r>
        <w:rPr>
          <w:rFonts w:ascii="Arial" w:hAnsi="Arial" w:eastAsia="Arial"/>
          <w:b w:val="0"/>
          <w:i w:val="0"/>
          <w:sz w:val="24"/>
        </w:rPr>
        <w:t>. Gaithersburg: National Institute of Standards and Technology, 2020. NISTIR 8259A. DOI: https://doi.org/10.6028/NIST.IR.8259A. Disponível em: https://nvlpubs.nist.gov/nistpubs/ir/2020/NIST.IR.8259A.pdf. Acesso em: 26 ago. 2026.</w:t>
      </w:r>
    </w:p>
    <w:p>
      <w:pPr>
        <w:spacing w:before="0" w:after="120" w:line="240" w:lineRule="auto"/>
        <w:ind w:left="0" w:firstLine="0"/>
        <w:jc w:val="left"/>
      </w:pPr>
      <w:r>
        <w:rPr>
          <w:rFonts w:ascii="Arial" w:hAnsi="Arial" w:eastAsia="Arial"/>
          <w:b w:val="0"/>
          <w:i w:val="0"/>
          <w:sz w:val="24"/>
        </w:rPr>
        <w:t xml:space="preserve">GUILLÁN LORENZO, Omar; SUÁREZ-GARCÍA, Andrés; GONZÁLEZ PEÑA, David; GARCÍA FUENTE, Manuel; GRANADOS-LÓPEZ, Diego. A low-cost luxometer benchmark for solar illuminance measurement system based on the Internet of Things. </w:t>
      </w:r>
      <w:r>
        <w:rPr>
          <w:rFonts w:ascii="Arial" w:hAnsi="Arial" w:eastAsia="Arial"/>
          <w:b w:val="0"/>
          <w:i/>
          <w:sz w:val="24"/>
        </w:rPr>
        <w:t>Sensors</w:t>
      </w:r>
      <w:r>
        <w:rPr>
          <w:rFonts w:ascii="Arial" w:hAnsi="Arial" w:eastAsia="Arial"/>
          <w:b w:val="0"/>
          <w:i w:val="0"/>
          <w:sz w:val="24"/>
        </w:rPr>
        <w:t>, v. 22, n. 19, art. 7107, 2022. DOI: https://doi.org/10.3390/s22197107. Disponível em: https://doi.org/10.3390/s22197107. Acesso em: 26 ago. 2026.</w:t>
      </w:r>
    </w:p>
    <w:p>
      <w:pPr>
        <w:spacing w:before="0" w:after="120" w:line="240" w:lineRule="auto"/>
        <w:ind w:left="0" w:firstLine="0"/>
        <w:jc w:val="left"/>
      </w:pPr>
      <w:r>
        <w:rPr>
          <w:rFonts w:ascii="Arial" w:hAnsi="Arial" w:eastAsia="Arial"/>
          <w:b w:val="0"/>
          <w:i w:val="0"/>
          <w:sz w:val="24"/>
        </w:rPr>
        <w:t xml:space="preserve">HERNÁNDEZ, Wilmar; CAÑAS, Norberto. Sensing classroom temperature, relative humidity, illuminance, CO2, and noise: an integral solution based on an IoT device for dense deployments. </w:t>
      </w:r>
      <w:r>
        <w:rPr>
          <w:rFonts w:ascii="Arial" w:hAnsi="Arial" w:eastAsia="Arial"/>
          <w:b w:val="0"/>
          <w:i/>
          <w:sz w:val="24"/>
        </w:rPr>
        <w:t>Sensors</w:t>
      </w:r>
      <w:r>
        <w:rPr>
          <w:rFonts w:ascii="Arial" w:hAnsi="Arial" w:eastAsia="Arial"/>
          <w:b w:val="0"/>
          <w:i w:val="0"/>
          <w:sz w:val="24"/>
        </w:rPr>
        <w:t>, v. 24, n. 16, art. 5129, 2024. DOI: https://doi.org/10.3390/s24165129. Disponível em: https://doi.org/10.3390/s24165129. Acesso em: 26 ago. 2026.</w:t>
      </w:r>
    </w:p>
    <w:p>
      <w:pPr>
        <w:spacing w:before="0" w:after="120" w:line="240" w:lineRule="auto"/>
        <w:ind w:left="0" w:firstLine="0"/>
        <w:jc w:val="left"/>
      </w:pPr>
      <w:r>
        <w:rPr>
          <w:rFonts w:ascii="Arial" w:hAnsi="Arial" w:eastAsia="Arial"/>
          <w:b w:val="0"/>
          <w:i w:val="0"/>
          <w:sz w:val="24"/>
        </w:rPr>
        <w:t xml:space="preserve">NIST/SEMATECH. </w:t>
      </w:r>
      <w:r>
        <w:rPr>
          <w:rFonts w:ascii="Arial" w:hAnsi="Arial" w:eastAsia="Arial"/>
          <w:b w:val="0"/>
          <w:i/>
          <w:sz w:val="24"/>
        </w:rPr>
        <w:t>NIST/SEMATECH e-Handbook of Statistical Methods: calibration</w:t>
      </w:r>
      <w:r>
        <w:rPr>
          <w:rFonts w:ascii="Arial" w:hAnsi="Arial" w:eastAsia="Arial"/>
          <w:b w:val="0"/>
          <w:i w:val="0"/>
          <w:sz w:val="24"/>
        </w:rPr>
        <w:t>. [S. l.], [s. d.]. Disponível em: https://www.itl.nist.gov/div898/handbook/mpc/section3/mpc3.htm. Acesso em: 24 ago. 2026.</w:t>
      </w:r>
    </w:p>
    <w:p>
      <w:pPr>
        <w:spacing w:before="0" w:after="120" w:line="240" w:lineRule="auto"/>
        <w:ind w:left="0" w:firstLine="0"/>
        <w:jc w:val="left"/>
      </w:pPr>
      <w:r>
        <w:rPr>
          <w:rFonts w:ascii="Arial" w:hAnsi="Arial" w:eastAsia="Arial"/>
          <w:b w:val="0"/>
          <w:i w:val="0"/>
          <w:sz w:val="24"/>
        </w:rPr>
        <w:t xml:space="preserve">RUS, Tania; MOLDOVAN, Raluca Paula; MÂRZA, Carmen Maria; CORSIUC, Georgiana; ILUŢIU-VARVARA, Dana-Adriana. Data-driven environments: evaluating IoT sensors and KNX protocol for monitoring indoor conditions in educational facilities. </w:t>
      </w:r>
      <w:r>
        <w:rPr>
          <w:rFonts w:ascii="Arial" w:hAnsi="Arial" w:eastAsia="Arial"/>
          <w:b w:val="0"/>
          <w:i/>
          <w:sz w:val="24"/>
        </w:rPr>
        <w:t>Frontiers in Built Environment</w:t>
      </w:r>
      <w:r>
        <w:rPr>
          <w:rFonts w:ascii="Arial" w:hAnsi="Arial" w:eastAsia="Arial"/>
          <w:b w:val="0"/>
          <w:i w:val="0"/>
          <w:sz w:val="24"/>
        </w:rPr>
        <w:t>, v. 11, art. 1688582, 2025. DOI: https://doi.org/10.3389/fbuil.2025.1688582. Disponível em: https://doi.org/10.3389/fbuil.2025.1688582. Acesso em: 26 ago. 2026.</w:t>
      </w:r>
    </w:p>
    <w:p>
      <w:pPr>
        <w:spacing w:before="0" w:after="120" w:line="240" w:lineRule="auto"/>
        <w:ind w:left="0" w:firstLine="0"/>
        <w:jc w:val="left"/>
      </w:pPr>
      <w:r>
        <w:rPr>
          <w:rFonts w:ascii="Arial" w:hAnsi="Arial" w:eastAsia="Arial"/>
          <w:b w:val="0"/>
          <w:i w:val="0"/>
          <w:sz w:val="24"/>
        </w:rPr>
        <w:t xml:space="preserve">SENSIRION AG. </w:t>
      </w:r>
      <w:r>
        <w:rPr>
          <w:rFonts w:ascii="Arial" w:hAnsi="Arial" w:eastAsia="Arial"/>
          <w:b w:val="0"/>
          <w:i/>
          <w:sz w:val="24"/>
        </w:rPr>
        <w:t>Datasheet SHT3x-DIS: humidity and temperature sensor</w:t>
      </w:r>
      <w:r>
        <w:rPr>
          <w:rFonts w:ascii="Arial" w:hAnsi="Arial" w:eastAsia="Arial"/>
          <w:b w:val="0"/>
          <w:i w:val="0"/>
          <w:sz w:val="24"/>
        </w:rPr>
        <w:t>. Version 7. [S. l.]: Sensirion AG, 2022. Disponível em: https://sensirion.com/media/documents/213E6A3B/63A5A569/Datasheet_SHT3x_DIS.pdf. Acesso em: 24 ago. 2026.</w:t>
      </w:r>
    </w:p>
    <w:p>
      <w:pPr>
        <w:spacing w:before="0" w:after="120" w:line="240" w:lineRule="auto"/>
        <w:ind w:left="0" w:firstLine="0"/>
        <w:jc w:val="left"/>
      </w:pPr>
      <w:r>
        <w:rPr>
          <w:rFonts w:ascii="Arial" w:hAnsi="Arial" w:eastAsia="Arial"/>
          <w:b w:val="0"/>
          <w:i w:val="0"/>
          <w:sz w:val="24"/>
        </w:rPr>
        <w:t xml:space="preserve">VISHAY SEMICONDUCTORS. </w:t>
      </w:r>
      <w:r>
        <w:rPr>
          <w:rFonts w:ascii="Arial" w:hAnsi="Arial" w:eastAsia="Arial"/>
          <w:b w:val="0"/>
          <w:i/>
          <w:sz w:val="24"/>
        </w:rPr>
        <w:t>VEML7700: high accuracy ambient light sensor with I2C interface</w:t>
      </w:r>
      <w:r>
        <w:rPr>
          <w:rFonts w:ascii="Arial" w:hAnsi="Arial" w:eastAsia="Arial"/>
          <w:b w:val="0"/>
          <w:i w:val="0"/>
          <w:sz w:val="24"/>
        </w:rPr>
        <w:t>. Revision 1.8. [S. l.]: Vishay Semiconductors, 2024. Disponível em: https://www.vishay.com/docs/84286/veml7700.pdf. Acesso em: 24 ago. 2026.</w:t>
      </w:r>
    </w:p>
    <w:sectPr w:rsidR="00C92F11" w:rsidRPr="004A7195" w:rsidSect="001D6CB1">
      <w:headerReference w:type="default" r:id="rId10"/>
      <w:footerReference w:type="default" r:id="rId11"/>
      <w:pgSz w:w="11906" w:h="16838"/>
      <w:pgMar w:top="1701" w:right="1134" w:bottom="1134" w:left="1701" w:header="1134"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F5572" w14:textId="77777777" w:rsidR="003758E2" w:rsidRDefault="003758E2" w:rsidP="00B67A5A">
      <w:pPr>
        <w:spacing w:after="0" w:line="240" w:lineRule="auto"/>
      </w:pPr>
      <w:r>
        <w:separator/>
      </w:r>
    </w:p>
  </w:endnote>
  <w:endnote w:type="continuationSeparator" w:id="0">
    <w:p w14:paraId="568B44B8" w14:textId="77777777" w:rsidR="003758E2" w:rsidRDefault="003758E2" w:rsidP="00B67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DECD" w14:textId="77777777" w:rsidR="00EA6923" w:rsidRDefault="00EA6923">
    <w:pPr>
      <w:pStyle w:val="Rodap"/>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4068" w14:textId="77777777" w:rsidR="003758E2" w:rsidRDefault="003758E2" w:rsidP="00B67A5A">
      <w:pPr>
        <w:spacing w:after="0" w:line="240" w:lineRule="auto"/>
      </w:pPr>
      <w:r>
        <w:separator/>
      </w:r>
    </w:p>
  </w:footnote>
  <w:footnote w:type="continuationSeparator" w:id="0">
    <w:p w14:paraId="64825346" w14:textId="77777777" w:rsidR="003758E2" w:rsidRDefault="003758E2" w:rsidP="00B67A5A">
      <w:pPr>
        <w:spacing w:after="0" w:line="240" w:lineRule="auto"/>
      </w:pPr>
      <w:r>
        <w:continuationSeparator/>
      </w:r>
    </w:p>
  </w:footnote>
  <w:footnote w:id="1">
    <w:p w14:paraId="068D85D9" w14:textId="77777777" w:rsidR="00EA6923" w:rsidRPr="00510DC1" w:rsidRDefault="00EA6923" w:rsidP="00AC3FA0">
      <w:pPr>
        <w:pStyle w:val="Textodenotaderodap"/>
        <w:jc w:val="both"/>
        <w:rPr>
          <w:rFonts w:ascii="Arial" w:hAnsi="Arial" w:cs="Arial"/>
        </w:rPr>
      </w:pPr>
      <w:r w:rsidRPr="00510DC1">
        <w:rPr>
          <w:rStyle w:val="Refdenotaderodap"/>
          <w:rFonts w:ascii="Arial" w:hAnsi="Arial" w:cs="Arial"/>
        </w:rPr>
        <w:footnoteRef/>
      </w:r>
      <w:r w:rsidRPr="00510DC1">
        <w:rPr>
          <w:rFonts w:ascii="Arial" w:hAnsi="Arial" w:cs="Arial"/>
        </w:rPr>
        <w:t xml:space="preserve"> </w:t>
      </w:r>
      <w:r>
        <w:rPr>
          <w:rFonts w:ascii="Arial" w:hAnsi="Arial" w:cs="Arial"/>
        </w:rPr>
        <w:t>Stakeholder é um termo utilizado em engenharia de software para denominar as partes interessadas no projeto.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839B" w14:textId="4AE7266A" w:rsidR="008D11A0" w:rsidRDefault="008D11A0" w:rsidP="008D11A0">
    <w:pPr>
      <w:pStyle w:val="Cabealho"/>
      <w:jc w:val="center"/>
    </w:pPr>
    <w:r>
      <w:rPr>
        <w:noProof/>
      </w:rPr>
      <w:drawing>
        <wp:inline distT="0" distB="0" distL="0" distR="0" wp14:anchorId="20B98D32" wp14:editId="2BFE1CAF">
          <wp:extent cx="1619048" cy="647619"/>
          <wp:effectExtent l="0" t="0" r="0" b="0"/>
          <wp:docPr id="1809988908"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8908" name="Imagem 1" descr="Logotip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589274"/>
      <w:docPartObj>
        <w:docPartGallery w:val="Page Numbers (Top of Page)"/>
        <w:docPartUnique/>
      </w:docPartObj>
    </w:sdtPr>
    <w:sdtEndPr>
      <w:rPr>
        <w:rFonts w:ascii="Arial" w:hAnsi="Arial" w:cs="Arial"/>
        <w:sz w:val="20"/>
        <w:szCs w:val="20"/>
      </w:rPr>
    </w:sdtEndPr>
    <w:sdtContent>
      <w:p w14:paraId="5C219C41" w14:textId="77777777" w:rsidR="00EA6923" w:rsidRPr="005A5AB2" w:rsidRDefault="00EA6923">
        <w:pPr>
          <w:pStyle w:val="Cabealho"/>
          <w:jc w:val="right"/>
          <w:rPr>
            <w:rFonts w:ascii="Arial" w:hAnsi="Arial" w:cs="Arial"/>
            <w:sz w:val="20"/>
            <w:szCs w:val="20"/>
          </w:rPr>
        </w:pPr>
        <w:r w:rsidRPr="005A5AB2">
          <w:rPr>
            <w:rFonts w:ascii="Arial" w:hAnsi="Arial" w:cs="Arial"/>
            <w:sz w:val="20"/>
            <w:szCs w:val="20"/>
          </w:rPr>
          <w:fldChar w:fldCharType="begin"/>
        </w:r>
        <w:r w:rsidRPr="005A5AB2">
          <w:rPr>
            <w:rFonts w:ascii="Arial" w:hAnsi="Arial" w:cs="Arial"/>
            <w:sz w:val="20"/>
            <w:szCs w:val="20"/>
          </w:rPr>
          <w:instrText>PAGE   \* MERGEFORMAT</w:instrText>
        </w:r>
        <w:r w:rsidRPr="005A5AB2">
          <w:rPr>
            <w:rFonts w:ascii="Arial" w:hAnsi="Arial" w:cs="Arial"/>
            <w:sz w:val="20"/>
            <w:szCs w:val="20"/>
          </w:rPr>
          <w:fldChar w:fldCharType="separate"/>
        </w:r>
        <w:r w:rsidR="00D206D4">
          <w:rPr>
            <w:rFonts w:ascii="Arial" w:hAnsi="Arial" w:cs="Arial"/>
            <w:noProof/>
            <w:sz w:val="20"/>
            <w:szCs w:val="20"/>
          </w:rPr>
          <w:t>19</w:t>
        </w:r>
        <w:r w:rsidRPr="005A5AB2">
          <w:rPr>
            <w:rFonts w:ascii="Arial" w:hAnsi="Arial" w:cs="Arial"/>
            <w:sz w:val="20"/>
            <w:szCs w:val="20"/>
          </w:rPr>
          <w:fldChar w:fldCharType="end"/>
        </w:r>
      </w:p>
    </w:sdtContent>
  </w:sdt>
  <w:p w14:paraId="1074464E" w14:textId="77777777" w:rsidR="00EA6923" w:rsidRDefault="00EA692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19B"/>
    <w:multiLevelType w:val="hybridMultilevel"/>
    <w:tmpl w:val="384642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31972C1"/>
    <w:multiLevelType w:val="hybridMultilevel"/>
    <w:tmpl w:val="596045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B75BC7"/>
    <w:multiLevelType w:val="hybridMultilevel"/>
    <w:tmpl w:val="3BE8A6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B005CA"/>
    <w:multiLevelType w:val="hybridMultilevel"/>
    <w:tmpl w:val="B0705B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4A26F1"/>
    <w:multiLevelType w:val="hybridMultilevel"/>
    <w:tmpl w:val="3F1224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3571F4E"/>
    <w:multiLevelType w:val="hybridMultilevel"/>
    <w:tmpl w:val="403475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46D4589"/>
    <w:multiLevelType w:val="hybridMultilevel"/>
    <w:tmpl w:val="C98EC0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6F14054"/>
    <w:multiLevelType w:val="hybridMultilevel"/>
    <w:tmpl w:val="3D66E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B35147"/>
    <w:multiLevelType w:val="hybridMultilevel"/>
    <w:tmpl w:val="8AB029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9396109"/>
    <w:multiLevelType w:val="hybridMultilevel"/>
    <w:tmpl w:val="51CA0E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A8F1F01"/>
    <w:multiLevelType w:val="hybridMultilevel"/>
    <w:tmpl w:val="5F163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B9B2D78"/>
    <w:multiLevelType w:val="hybridMultilevel"/>
    <w:tmpl w:val="3B20A2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C2D0F3F"/>
    <w:multiLevelType w:val="hybridMultilevel"/>
    <w:tmpl w:val="1E96DF8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1CCE3E0D"/>
    <w:multiLevelType w:val="hybridMultilevel"/>
    <w:tmpl w:val="8626E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1754FEA"/>
    <w:multiLevelType w:val="hybridMultilevel"/>
    <w:tmpl w:val="223A7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2222CF8"/>
    <w:multiLevelType w:val="hybridMultilevel"/>
    <w:tmpl w:val="B2A29A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2512704"/>
    <w:multiLevelType w:val="hybridMultilevel"/>
    <w:tmpl w:val="12441C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865721F"/>
    <w:multiLevelType w:val="hybridMultilevel"/>
    <w:tmpl w:val="CE3417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A6C2B69"/>
    <w:multiLevelType w:val="hybridMultilevel"/>
    <w:tmpl w:val="7EC4C9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B18750E"/>
    <w:multiLevelType w:val="hybridMultilevel"/>
    <w:tmpl w:val="5E928A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E925B6B"/>
    <w:multiLevelType w:val="hybridMultilevel"/>
    <w:tmpl w:val="DA84BCA6"/>
    <w:lvl w:ilvl="0" w:tplc="04160001">
      <w:start w:val="1"/>
      <w:numFmt w:val="bullet"/>
      <w:lvlText w:val=""/>
      <w:lvlJc w:val="left"/>
      <w:pPr>
        <w:ind w:left="436" w:hanging="360"/>
      </w:pPr>
      <w:rPr>
        <w:rFonts w:ascii="Symbol" w:hAnsi="Symbol" w:hint="default"/>
      </w:rPr>
    </w:lvl>
    <w:lvl w:ilvl="1" w:tplc="04160003" w:tentative="1">
      <w:start w:val="1"/>
      <w:numFmt w:val="bullet"/>
      <w:lvlText w:val="o"/>
      <w:lvlJc w:val="left"/>
      <w:pPr>
        <w:ind w:left="1156" w:hanging="360"/>
      </w:pPr>
      <w:rPr>
        <w:rFonts w:ascii="Courier New" w:hAnsi="Courier New" w:cs="Courier New" w:hint="default"/>
      </w:rPr>
    </w:lvl>
    <w:lvl w:ilvl="2" w:tplc="04160005" w:tentative="1">
      <w:start w:val="1"/>
      <w:numFmt w:val="bullet"/>
      <w:lvlText w:val=""/>
      <w:lvlJc w:val="left"/>
      <w:pPr>
        <w:ind w:left="1876" w:hanging="360"/>
      </w:pPr>
      <w:rPr>
        <w:rFonts w:ascii="Wingdings" w:hAnsi="Wingdings" w:hint="default"/>
      </w:rPr>
    </w:lvl>
    <w:lvl w:ilvl="3" w:tplc="04160001" w:tentative="1">
      <w:start w:val="1"/>
      <w:numFmt w:val="bullet"/>
      <w:lvlText w:val=""/>
      <w:lvlJc w:val="left"/>
      <w:pPr>
        <w:ind w:left="2596" w:hanging="360"/>
      </w:pPr>
      <w:rPr>
        <w:rFonts w:ascii="Symbol" w:hAnsi="Symbol" w:hint="default"/>
      </w:rPr>
    </w:lvl>
    <w:lvl w:ilvl="4" w:tplc="04160003" w:tentative="1">
      <w:start w:val="1"/>
      <w:numFmt w:val="bullet"/>
      <w:lvlText w:val="o"/>
      <w:lvlJc w:val="left"/>
      <w:pPr>
        <w:ind w:left="3316" w:hanging="360"/>
      </w:pPr>
      <w:rPr>
        <w:rFonts w:ascii="Courier New" w:hAnsi="Courier New" w:cs="Courier New" w:hint="default"/>
      </w:rPr>
    </w:lvl>
    <w:lvl w:ilvl="5" w:tplc="04160005" w:tentative="1">
      <w:start w:val="1"/>
      <w:numFmt w:val="bullet"/>
      <w:lvlText w:val=""/>
      <w:lvlJc w:val="left"/>
      <w:pPr>
        <w:ind w:left="4036" w:hanging="360"/>
      </w:pPr>
      <w:rPr>
        <w:rFonts w:ascii="Wingdings" w:hAnsi="Wingdings" w:hint="default"/>
      </w:rPr>
    </w:lvl>
    <w:lvl w:ilvl="6" w:tplc="04160001" w:tentative="1">
      <w:start w:val="1"/>
      <w:numFmt w:val="bullet"/>
      <w:lvlText w:val=""/>
      <w:lvlJc w:val="left"/>
      <w:pPr>
        <w:ind w:left="4756" w:hanging="360"/>
      </w:pPr>
      <w:rPr>
        <w:rFonts w:ascii="Symbol" w:hAnsi="Symbol" w:hint="default"/>
      </w:rPr>
    </w:lvl>
    <w:lvl w:ilvl="7" w:tplc="04160003" w:tentative="1">
      <w:start w:val="1"/>
      <w:numFmt w:val="bullet"/>
      <w:lvlText w:val="o"/>
      <w:lvlJc w:val="left"/>
      <w:pPr>
        <w:ind w:left="5476" w:hanging="360"/>
      </w:pPr>
      <w:rPr>
        <w:rFonts w:ascii="Courier New" w:hAnsi="Courier New" w:cs="Courier New" w:hint="default"/>
      </w:rPr>
    </w:lvl>
    <w:lvl w:ilvl="8" w:tplc="04160005" w:tentative="1">
      <w:start w:val="1"/>
      <w:numFmt w:val="bullet"/>
      <w:lvlText w:val=""/>
      <w:lvlJc w:val="left"/>
      <w:pPr>
        <w:ind w:left="6196" w:hanging="360"/>
      </w:pPr>
      <w:rPr>
        <w:rFonts w:ascii="Wingdings" w:hAnsi="Wingdings" w:hint="default"/>
      </w:rPr>
    </w:lvl>
  </w:abstractNum>
  <w:abstractNum w:abstractNumId="21" w15:restartNumberingAfterBreak="0">
    <w:nsid w:val="34B53EC8"/>
    <w:multiLevelType w:val="hybridMultilevel"/>
    <w:tmpl w:val="223A7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7405075"/>
    <w:multiLevelType w:val="hybridMultilevel"/>
    <w:tmpl w:val="D520E3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85D7499"/>
    <w:multiLevelType w:val="hybridMultilevel"/>
    <w:tmpl w:val="B64031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E341C5F"/>
    <w:multiLevelType w:val="multilevel"/>
    <w:tmpl w:val="AF2CCE24"/>
    <w:lvl w:ilvl="0">
      <w:start w:val="3"/>
      <w:numFmt w:val="decimal"/>
      <w:lvlText w:val="%1."/>
      <w:lvlJc w:val="left"/>
      <w:pPr>
        <w:ind w:left="360" w:hanging="360"/>
      </w:pPr>
      <w:rPr>
        <w:rFonts w:hint="default"/>
      </w:rPr>
    </w:lvl>
    <w:lvl w:ilvl="1">
      <w:start w:val="1"/>
      <w:numFmt w:val="none"/>
      <w:lvlText w:val="3.1."/>
      <w:lvlJc w:val="left"/>
      <w:pPr>
        <w:ind w:left="792" w:hanging="432"/>
      </w:pPr>
      <w:rPr>
        <w:rFonts w:hint="default"/>
      </w:rPr>
    </w:lvl>
    <w:lvl w:ilvl="2">
      <w:start w:val="1"/>
      <w:numFmt w:val="none"/>
      <w:lvlText w:val="3.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2820D8"/>
    <w:multiLevelType w:val="hybridMultilevel"/>
    <w:tmpl w:val="8C646BB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74B5B9C"/>
    <w:multiLevelType w:val="hybridMultilevel"/>
    <w:tmpl w:val="559A58C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4897186D"/>
    <w:multiLevelType w:val="hybridMultilevel"/>
    <w:tmpl w:val="90E2DB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8E2572C"/>
    <w:multiLevelType w:val="hybridMultilevel"/>
    <w:tmpl w:val="11CC15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E694598"/>
    <w:multiLevelType w:val="hybridMultilevel"/>
    <w:tmpl w:val="420A0E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EEA1B41"/>
    <w:multiLevelType w:val="hybridMultilevel"/>
    <w:tmpl w:val="A7E6B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EEE51AB"/>
    <w:multiLevelType w:val="hybridMultilevel"/>
    <w:tmpl w:val="CB74B89E"/>
    <w:lvl w:ilvl="0" w:tplc="04160001">
      <w:start w:val="1"/>
      <w:numFmt w:val="bullet"/>
      <w:lvlText w:val=""/>
      <w:lvlJc w:val="left"/>
      <w:pPr>
        <w:ind w:left="789" w:hanging="360"/>
      </w:pPr>
      <w:rPr>
        <w:rFonts w:ascii="Symbol" w:hAnsi="Symbol" w:hint="default"/>
      </w:rPr>
    </w:lvl>
    <w:lvl w:ilvl="1" w:tplc="04160003" w:tentative="1">
      <w:start w:val="1"/>
      <w:numFmt w:val="bullet"/>
      <w:lvlText w:val="o"/>
      <w:lvlJc w:val="left"/>
      <w:pPr>
        <w:ind w:left="1509" w:hanging="360"/>
      </w:pPr>
      <w:rPr>
        <w:rFonts w:ascii="Courier New" w:hAnsi="Courier New" w:cs="Courier New" w:hint="default"/>
      </w:rPr>
    </w:lvl>
    <w:lvl w:ilvl="2" w:tplc="04160005" w:tentative="1">
      <w:start w:val="1"/>
      <w:numFmt w:val="bullet"/>
      <w:lvlText w:val=""/>
      <w:lvlJc w:val="left"/>
      <w:pPr>
        <w:ind w:left="2229" w:hanging="360"/>
      </w:pPr>
      <w:rPr>
        <w:rFonts w:ascii="Wingdings" w:hAnsi="Wingdings" w:hint="default"/>
      </w:rPr>
    </w:lvl>
    <w:lvl w:ilvl="3" w:tplc="04160001" w:tentative="1">
      <w:start w:val="1"/>
      <w:numFmt w:val="bullet"/>
      <w:lvlText w:val=""/>
      <w:lvlJc w:val="left"/>
      <w:pPr>
        <w:ind w:left="2949" w:hanging="360"/>
      </w:pPr>
      <w:rPr>
        <w:rFonts w:ascii="Symbol" w:hAnsi="Symbol" w:hint="default"/>
      </w:rPr>
    </w:lvl>
    <w:lvl w:ilvl="4" w:tplc="04160003" w:tentative="1">
      <w:start w:val="1"/>
      <w:numFmt w:val="bullet"/>
      <w:lvlText w:val="o"/>
      <w:lvlJc w:val="left"/>
      <w:pPr>
        <w:ind w:left="3669" w:hanging="360"/>
      </w:pPr>
      <w:rPr>
        <w:rFonts w:ascii="Courier New" w:hAnsi="Courier New" w:cs="Courier New" w:hint="default"/>
      </w:rPr>
    </w:lvl>
    <w:lvl w:ilvl="5" w:tplc="04160005" w:tentative="1">
      <w:start w:val="1"/>
      <w:numFmt w:val="bullet"/>
      <w:lvlText w:val=""/>
      <w:lvlJc w:val="left"/>
      <w:pPr>
        <w:ind w:left="4389" w:hanging="360"/>
      </w:pPr>
      <w:rPr>
        <w:rFonts w:ascii="Wingdings" w:hAnsi="Wingdings" w:hint="default"/>
      </w:rPr>
    </w:lvl>
    <w:lvl w:ilvl="6" w:tplc="04160001" w:tentative="1">
      <w:start w:val="1"/>
      <w:numFmt w:val="bullet"/>
      <w:lvlText w:val=""/>
      <w:lvlJc w:val="left"/>
      <w:pPr>
        <w:ind w:left="5109" w:hanging="360"/>
      </w:pPr>
      <w:rPr>
        <w:rFonts w:ascii="Symbol" w:hAnsi="Symbol" w:hint="default"/>
      </w:rPr>
    </w:lvl>
    <w:lvl w:ilvl="7" w:tplc="04160003" w:tentative="1">
      <w:start w:val="1"/>
      <w:numFmt w:val="bullet"/>
      <w:lvlText w:val="o"/>
      <w:lvlJc w:val="left"/>
      <w:pPr>
        <w:ind w:left="5829" w:hanging="360"/>
      </w:pPr>
      <w:rPr>
        <w:rFonts w:ascii="Courier New" w:hAnsi="Courier New" w:cs="Courier New" w:hint="default"/>
      </w:rPr>
    </w:lvl>
    <w:lvl w:ilvl="8" w:tplc="04160005" w:tentative="1">
      <w:start w:val="1"/>
      <w:numFmt w:val="bullet"/>
      <w:lvlText w:val=""/>
      <w:lvlJc w:val="left"/>
      <w:pPr>
        <w:ind w:left="6549" w:hanging="360"/>
      </w:pPr>
      <w:rPr>
        <w:rFonts w:ascii="Wingdings" w:hAnsi="Wingdings" w:hint="default"/>
      </w:rPr>
    </w:lvl>
  </w:abstractNum>
  <w:abstractNum w:abstractNumId="32" w15:restartNumberingAfterBreak="0">
    <w:nsid w:val="4FBD584D"/>
    <w:multiLevelType w:val="hybridMultilevel"/>
    <w:tmpl w:val="A3C43D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D82C3B"/>
    <w:multiLevelType w:val="hybridMultilevel"/>
    <w:tmpl w:val="0BE6DB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3DE3C39"/>
    <w:multiLevelType w:val="hybridMultilevel"/>
    <w:tmpl w:val="7EC4C9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8156E3F"/>
    <w:multiLevelType w:val="hybridMultilevel"/>
    <w:tmpl w:val="82AA1E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9E035BB"/>
    <w:multiLevelType w:val="hybridMultilevel"/>
    <w:tmpl w:val="66B49F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5B5E5C8D"/>
    <w:multiLevelType w:val="hybridMultilevel"/>
    <w:tmpl w:val="8FB225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CE32B03"/>
    <w:multiLevelType w:val="hybridMultilevel"/>
    <w:tmpl w:val="7B7EF0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5D857C14"/>
    <w:multiLevelType w:val="hybridMultilevel"/>
    <w:tmpl w:val="AA4CA4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5F2E3D29"/>
    <w:multiLevelType w:val="hybridMultilevel"/>
    <w:tmpl w:val="24565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06D11F2"/>
    <w:multiLevelType w:val="hybridMultilevel"/>
    <w:tmpl w:val="689EE9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27F7973"/>
    <w:multiLevelType w:val="hybridMultilevel"/>
    <w:tmpl w:val="20DE3E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2854A88"/>
    <w:multiLevelType w:val="hybridMultilevel"/>
    <w:tmpl w:val="2DFC6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2F50C8F"/>
    <w:multiLevelType w:val="hybridMultilevel"/>
    <w:tmpl w:val="FF1461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632A7D74"/>
    <w:multiLevelType w:val="hybridMultilevel"/>
    <w:tmpl w:val="2F5439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4276737"/>
    <w:multiLevelType w:val="hybridMultilevel"/>
    <w:tmpl w:val="12441C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47D6032"/>
    <w:multiLevelType w:val="hybridMultilevel"/>
    <w:tmpl w:val="132CC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683C17D4"/>
    <w:multiLevelType w:val="hybridMultilevel"/>
    <w:tmpl w:val="B0705B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E480400"/>
    <w:multiLevelType w:val="hybridMultilevel"/>
    <w:tmpl w:val="3B1E4B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E917CDE"/>
    <w:multiLevelType w:val="hybridMultilevel"/>
    <w:tmpl w:val="2A148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F735A92"/>
    <w:multiLevelType w:val="hybridMultilevel"/>
    <w:tmpl w:val="A43AC0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F8053AB"/>
    <w:multiLevelType w:val="hybridMultilevel"/>
    <w:tmpl w:val="2376D0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FE45DAC"/>
    <w:multiLevelType w:val="hybridMultilevel"/>
    <w:tmpl w:val="91BE95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01769E5"/>
    <w:multiLevelType w:val="hybridMultilevel"/>
    <w:tmpl w:val="A0267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27419EA"/>
    <w:multiLevelType w:val="hybridMultilevel"/>
    <w:tmpl w:val="DC24E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53706F7"/>
    <w:multiLevelType w:val="hybridMultilevel"/>
    <w:tmpl w:val="E69448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56568F5"/>
    <w:multiLevelType w:val="hybridMultilevel"/>
    <w:tmpl w:val="A5982F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BB22A01"/>
    <w:multiLevelType w:val="hybridMultilevel"/>
    <w:tmpl w:val="3D38DC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5739044">
    <w:abstractNumId w:val="2"/>
  </w:num>
  <w:num w:numId="2" w16cid:durableId="1145704193">
    <w:abstractNumId w:val="31"/>
  </w:num>
  <w:num w:numId="3" w16cid:durableId="1504591734">
    <w:abstractNumId w:val="24"/>
  </w:num>
  <w:num w:numId="4" w16cid:durableId="398796076">
    <w:abstractNumId w:val="12"/>
  </w:num>
  <w:num w:numId="5" w16cid:durableId="1297951896">
    <w:abstractNumId w:val="20"/>
  </w:num>
  <w:num w:numId="6" w16cid:durableId="1866092166">
    <w:abstractNumId w:val="43"/>
  </w:num>
  <w:num w:numId="7" w16cid:durableId="1085876938">
    <w:abstractNumId w:val="27"/>
  </w:num>
  <w:num w:numId="8" w16cid:durableId="1513228406">
    <w:abstractNumId w:val="38"/>
  </w:num>
  <w:num w:numId="9" w16cid:durableId="1018192033">
    <w:abstractNumId w:val="54"/>
  </w:num>
  <w:num w:numId="10" w16cid:durableId="33778035">
    <w:abstractNumId w:val="6"/>
  </w:num>
  <w:num w:numId="11" w16cid:durableId="1307395750">
    <w:abstractNumId w:val="5"/>
  </w:num>
  <w:num w:numId="12" w16cid:durableId="1817456126">
    <w:abstractNumId w:val="36"/>
  </w:num>
  <w:num w:numId="13" w16cid:durableId="470056421">
    <w:abstractNumId w:val="50"/>
  </w:num>
  <w:num w:numId="14" w16cid:durableId="2111007095">
    <w:abstractNumId w:val="26"/>
  </w:num>
  <w:num w:numId="15" w16cid:durableId="1829009799">
    <w:abstractNumId w:val="53"/>
  </w:num>
  <w:num w:numId="16" w16cid:durableId="1608925399">
    <w:abstractNumId w:val="23"/>
  </w:num>
  <w:num w:numId="17" w16cid:durableId="2134514387">
    <w:abstractNumId w:val="40"/>
  </w:num>
  <w:num w:numId="18" w16cid:durableId="208498118">
    <w:abstractNumId w:val="58"/>
  </w:num>
  <w:num w:numId="19" w16cid:durableId="675764853">
    <w:abstractNumId w:val="30"/>
  </w:num>
  <w:num w:numId="20" w16cid:durableId="16393522">
    <w:abstractNumId w:val="45"/>
  </w:num>
  <w:num w:numId="21" w16cid:durableId="1030373670">
    <w:abstractNumId w:val="32"/>
  </w:num>
  <w:num w:numId="22" w16cid:durableId="462163688">
    <w:abstractNumId w:val="35"/>
  </w:num>
  <w:num w:numId="23" w16cid:durableId="1775973859">
    <w:abstractNumId w:val="22"/>
  </w:num>
  <w:num w:numId="24" w16cid:durableId="1064336338">
    <w:abstractNumId w:val="37"/>
  </w:num>
  <w:num w:numId="25" w16cid:durableId="2120752975">
    <w:abstractNumId w:val="47"/>
  </w:num>
  <w:num w:numId="26" w16cid:durableId="499270769">
    <w:abstractNumId w:val="8"/>
  </w:num>
  <w:num w:numId="27" w16cid:durableId="104011098">
    <w:abstractNumId w:val="56"/>
  </w:num>
  <w:num w:numId="28" w16cid:durableId="1152454136">
    <w:abstractNumId w:val="9"/>
  </w:num>
  <w:num w:numId="29" w16cid:durableId="1082724335">
    <w:abstractNumId w:val="13"/>
  </w:num>
  <w:num w:numId="30" w16cid:durableId="2066365484">
    <w:abstractNumId w:val="11"/>
  </w:num>
  <w:num w:numId="31" w16cid:durableId="1811552770">
    <w:abstractNumId w:val="16"/>
  </w:num>
  <w:num w:numId="32" w16cid:durableId="1366057209">
    <w:abstractNumId w:val="46"/>
  </w:num>
  <w:num w:numId="33" w16cid:durableId="998926505">
    <w:abstractNumId w:val="44"/>
  </w:num>
  <w:num w:numId="34" w16cid:durableId="2004620821">
    <w:abstractNumId w:val="17"/>
  </w:num>
  <w:num w:numId="35" w16cid:durableId="1321932261">
    <w:abstractNumId w:val="41"/>
  </w:num>
  <w:num w:numId="36" w16cid:durableId="686751879">
    <w:abstractNumId w:val="4"/>
  </w:num>
  <w:num w:numId="37" w16cid:durableId="1160657688">
    <w:abstractNumId w:val="49"/>
  </w:num>
  <w:num w:numId="38" w16cid:durableId="606235775">
    <w:abstractNumId w:val="51"/>
  </w:num>
  <w:num w:numId="39" w16cid:durableId="1705716481">
    <w:abstractNumId w:val="52"/>
  </w:num>
  <w:num w:numId="40" w16cid:durableId="1677227170">
    <w:abstractNumId w:val="42"/>
  </w:num>
  <w:num w:numId="41" w16cid:durableId="1512574046">
    <w:abstractNumId w:val="29"/>
  </w:num>
  <w:num w:numId="42" w16cid:durableId="1049768566">
    <w:abstractNumId w:val="28"/>
  </w:num>
  <w:num w:numId="43" w16cid:durableId="1844273811">
    <w:abstractNumId w:val="33"/>
  </w:num>
  <w:num w:numId="44" w16cid:durableId="338433641">
    <w:abstractNumId w:val="34"/>
  </w:num>
  <w:num w:numId="45" w16cid:durableId="1981765243">
    <w:abstractNumId w:val="57"/>
  </w:num>
  <w:num w:numId="46" w16cid:durableId="1363242400">
    <w:abstractNumId w:val="39"/>
  </w:num>
  <w:num w:numId="47" w16cid:durableId="760756587">
    <w:abstractNumId w:val="18"/>
  </w:num>
  <w:num w:numId="48" w16cid:durableId="2100714324">
    <w:abstractNumId w:val="15"/>
  </w:num>
  <w:num w:numId="49" w16cid:durableId="701514095">
    <w:abstractNumId w:val="10"/>
  </w:num>
  <w:num w:numId="50" w16cid:durableId="99372064">
    <w:abstractNumId w:val="7"/>
  </w:num>
  <w:num w:numId="51" w16cid:durableId="1809321861">
    <w:abstractNumId w:val="48"/>
  </w:num>
  <w:num w:numId="52" w16cid:durableId="1004818597">
    <w:abstractNumId w:val="3"/>
  </w:num>
  <w:num w:numId="53" w16cid:durableId="192773737">
    <w:abstractNumId w:val="19"/>
  </w:num>
  <w:num w:numId="54" w16cid:durableId="1695184329">
    <w:abstractNumId w:val="0"/>
  </w:num>
  <w:num w:numId="55" w16cid:durableId="1306659917">
    <w:abstractNumId w:val="25"/>
  </w:num>
  <w:num w:numId="56" w16cid:durableId="220409376">
    <w:abstractNumId w:val="14"/>
  </w:num>
  <w:num w:numId="57" w16cid:durableId="988631752">
    <w:abstractNumId w:val="21"/>
  </w:num>
  <w:num w:numId="58" w16cid:durableId="137764591">
    <w:abstractNumId w:val="55"/>
  </w:num>
  <w:num w:numId="59" w16cid:durableId="613027347">
    <w:abstractNumId w:val="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FD"/>
    <w:rsid w:val="00000ABE"/>
    <w:rsid w:val="00002007"/>
    <w:rsid w:val="00006EF6"/>
    <w:rsid w:val="00010A86"/>
    <w:rsid w:val="000158CF"/>
    <w:rsid w:val="00017E3C"/>
    <w:rsid w:val="000249FF"/>
    <w:rsid w:val="00031EDC"/>
    <w:rsid w:val="00032F0E"/>
    <w:rsid w:val="00035B94"/>
    <w:rsid w:val="00043705"/>
    <w:rsid w:val="00050FE2"/>
    <w:rsid w:val="0005502C"/>
    <w:rsid w:val="000565A8"/>
    <w:rsid w:val="00092D2E"/>
    <w:rsid w:val="000A343F"/>
    <w:rsid w:val="000A4F22"/>
    <w:rsid w:val="000A6CD4"/>
    <w:rsid w:val="000B0EE2"/>
    <w:rsid w:val="000B7D28"/>
    <w:rsid w:val="000D2FF9"/>
    <w:rsid w:val="000D433A"/>
    <w:rsid w:val="000E13BE"/>
    <w:rsid w:val="000E1D5F"/>
    <w:rsid w:val="000E4EFB"/>
    <w:rsid w:val="000E6D4F"/>
    <w:rsid w:val="000F26DD"/>
    <w:rsid w:val="000F65EF"/>
    <w:rsid w:val="001009CE"/>
    <w:rsid w:val="001056E2"/>
    <w:rsid w:val="00111F66"/>
    <w:rsid w:val="001166FB"/>
    <w:rsid w:val="001266FA"/>
    <w:rsid w:val="00126D77"/>
    <w:rsid w:val="001326C7"/>
    <w:rsid w:val="00137D86"/>
    <w:rsid w:val="00142E3E"/>
    <w:rsid w:val="00142EA3"/>
    <w:rsid w:val="00152875"/>
    <w:rsid w:val="001668EA"/>
    <w:rsid w:val="00171B8D"/>
    <w:rsid w:val="00174E03"/>
    <w:rsid w:val="00180BEA"/>
    <w:rsid w:val="00183213"/>
    <w:rsid w:val="00185254"/>
    <w:rsid w:val="001874B0"/>
    <w:rsid w:val="001902A3"/>
    <w:rsid w:val="0019100F"/>
    <w:rsid w:val="00191824"/>
    <w:rsid w:val="001B125E"/>
    <w:rsid w:val="001B591F"/>
    <w:rsid w:val="001C5A90"/>
    <w:rsid w:val="001D0F03"/>
    <w:rsid w:val="001D5FE0"/>
    <w:rsid w:val="001D6CB1"/>
    <w:rsid w:val="001D79C1"/>
    <w:rsid w:val="001E43FB"/>
    <w:rsid w:val="001E6F65"/>
    <w:rsid w:val="00200A58"/>
    <w:rsid w:val="00200D7F"/>
    <w:rsid w:val="00210520"/>
    <w:rsid w:val="00211649"/>
    <w:rsid w:val="00215C62"/>
    <w:rsid w:val="002209A2"/>
    <w:rsid w:val="00221556"/>
    <w:rsid w:val="00225645"/>
    <w:rsid w:val="00226B44"/>
    <w:rsid w:val="00236E48"/>
    <w:rsid w:val="00242621"/>
    <w:rsid w:val="00256F67"/>
    <w:rsid w:val="002814AF"/>
    <w:rsid w:val="002819FA"/>
    <w:rsid w:val="00281D96"/>
    <w:rsid w:val="00282350"/>
    <w:rsid w:val="00292AA9"/>
    <w:rsid w:val="00293C32"/>
    <w:rsid w:val="00293E5C"/>
    <w:rsid w:val="002949A6"/>
    <w:rsid w:val="002A20FB"/>
    <w:rsid w:val="002A5EC1"/>
    <w:rsid w:val="002B0928"/>
    <w:rsid w:val="002B2A8C"/>
    <w:rsid w:val="002C42EA"/>
    <w:rsid w:val="002D6617"/>
    <w:rsid w:val="002D669F"/>
    <w:rsid w:val="002F547F"/>
    <w:rsid w:val="002F5BCE"/>
    <w:rsid w:val="002F6AF4"/>
    <w:rsid w:val="002F7F9E"/>
    <w:rsid w:val="00307AE0"/>
    <w:rsid w:val="00311621"/>
    <w:rsid w:val="00312885"/>
    <w:rsid w:val="00313121"/>
    <w:rsid w:val="0031484B"/>
    <w:rsid w:val="00320667"/>
    <w:rsid w:val="00341B8F"/>
    <w:rsid w:val="00345525"/>
    <w:rsid w:val="00350CC0"/>
    <w:rsid w:val="00352B20"/>
    <w:rsid w:val="00372CC2"/>
    <w:rsid w:val="003732EF"/>
    <w:rsid w:val="00374EF0"/>
    <w:rsid w:val="003758E2"/>
    <w:rsid w:val="00381297"/>
    <w:rsid w:val="003836A3"/>
    <w:rsid w:val="0038673A"/>
    <w:rsid w:val="0039135C"/>
    <w:rsid w:val="00391888"/>
    <w:rsid w:val="00397BA0"/>
    <w:rsid w:val="003A00B7"/>
    <w:rsid w:val="003A0AEC"/>
    <w:rsid w:val="003A25F1"/>
    <w:rsid w:val="003A5062"/>
    <w:rsid w:val="003A73F6"/>
    <w:rsid w:val="003B1614"/>
    <w:rsid w:val="003B6DDF"/>
    <w:rsid w:val="003B6EB4"/>
    <w:rsid w:val="003B7735"/>
    <w:rsid w:val="003C6749"/>
    <w:rsid w:val="003D25C2"/>
    <w:rsid w:val="003D6EBA"/>
    <w:rsid w:val="003F31E6"/>
    <w:rsid w:val="003F6FC9"/>
    <w:rsid w:val="00403CCA"/>
    <w:rsid w:val="0040510C"/>
    <w:rsid w:val="00405F79"/>
    <w:rsid w:val="0041389A"/>
    <w:rsid w:val="00415160"/>
    <w:rsid w:val="00421BBF"/>
    <w:rsid w:val="00431464"/>
    <w:rsid w:val="00435144"/>
    <w:rsid w:val="00437401"/>
    <w:rsid w:val="00440531"/>
    <w:rsid w:val="004446C9"/>
    <w:rsid w:val="00445A08"/>
    <w:rsid w:val="00450873"/>
    <w:rsid w:val="0046260F"/>
    <w:rsid w:val="0046467E"/>
    <w:rsid w:val="004668F3"/>
    <w:rsid w:val="00486D4B"/>
    <w:rsid w:val="004904EF"/>
    <w:rsid w:val="00490EF2"/>
    <w:rsid w:val="004917F1"/>
    <w:rsid w:val="004A1AF0"/>
    <w:rsid w:val="004A7195"/>
    <w:rsid w:val="004B4BB6"/>
    <w:rsid w:val="004C21D3"/>
    <w:rsid w:val="004C43DD"/>
    <w:rsid w:val="004C4AB8"/>
    <w:rsid w:val="004C6A39"/>
    <w:rsid w:val="004C792F"/>
    <w:rsid w:val="004D2153"/>
    <w:rsid w:val="004D240B"/>
    <w:rsid w:val="004D28DB"/>
    <w:rsid w:val="004D3F7B"/>
    <w:rsid w:val="004D4273"/>
    <w:rsid w:val="004E20AE"/>
    <w:rsid w:val="004E3867"/>
    <w:rsid w:val="004E699B"/>
    <w:rsid w:val="004F523D"/>
    <w:rsid w:val="004F5B77"/>
    <w:rsid w:val="004F5D67"/>
    <w:rsid w:val="004F6C29"/>
    <w:rsid w:val="00502A1E"/>
    <w:rsid w:val="00510DC1"/>
    <w:rsid w:val="005112AB"/>
    <w:rsid w:val="00514440"/>
    <w:rsid w:val="005150E9"/>
    <w:rsid w:val="00515F61"/>
    <w:rsid w:val="00521018"/>
    <w:rsid w:val="00537475"/>
    <w:rsid w:val="00555AD6"/>
    <w:rsid w:val="00556188"/>
    <w:rsid w:val="00563809"/>
    <w:rsid w:val="00570E66"/>
    <w:rsid w:val="00574FD6"/>
    <w:rsid w:val="00577853"/>
    <w:rsid w:val="00582BD6"/>
    <w:rsid w:val="0058566D"/>
    <w:rsid w:val="005A4D5B"/>
    <w:rsid w:val="005A5AB2"/>
    <w:rsid w:val="005A6992"/>
    <w:rsid w:val="005A776E"/>
    <w:rsid w:val="005B5463"/>
    <w:rsid w:val="005C0521"/>
    <w:rsid w:val="005C4CB4"/>
    <w:rsid w:val="005C612D"/>
    <w:rsid w:val="005D7DA7"/>
    <w:rsid w:val="005E7C14"/>
    <w:rsid w:val="005F0170"/>
    <w:rsid w:val="005F1071"/>
    <w:rsid w:val="00600A78"/>
    <w:rsid w:val="00611D36"/>
    <w:rsid w:val="00621FF8"/>
    <w:rsid w:val="006276E2"/>
    <w:rsid w:val="006302AF"/>
    <w:rsid w:val="0064051A"/>
    <w:rsid w:val="006417E0"/>
    <w:rsid w:val="00646349"/>
    <w:rsid w:val="006513A5"/>
    <w:rsid w:val="00656786"/>
    <w:rsid w:val="0066082B"/>
    <w:rsid w:val="00661A1A"/>
    <w:rsid w:val="00663803"/>
    <w:rsid w:val="00676897"/>
    <w:rsid w:val="006804A0"/>
    <w:rsid w:val="00682136"/>
    <w:rsid w:val="00692573"/>
    <w:rsid w:val="006926F3"/>
    <w:rsid w:val="006B0255"/>
    <w:rsid w:val="006B1F4D"/>
    <w:rsid w:val="006B2494"/>
    <w:rsid w:val="006B653A"/>
    <w:rsid w:val="006C197B"/>
    <w:rsid w:val="006C219F"/>
    <w:rsid w:val="006C4FAF"/>
    <w:rsid w:val="006D1C83"/>
    <w:rsid w:val="006E5826"/>
    <w:rsid w:val="006E7151"/>
    <w:rsid w:val="006F0D8F"/>
    <w:rsid w:val="007009CE"/>
    <w:rsid w:val="0070713D"/>
    <w:rsid w:val="007130C9"/>
    <w:rsid w:val="007138A4"/>
    <w:rsid w:val="00715293"/>
    <w:rsid w:val="00716C36"/>
    <w:rsid w:val="00722BBA"/>
    <w:rsid w:val="0072370A"/>
    <w:rsid w:val="00724531"/>
    <w:rsid w:val="00734612"/>
    <w:rsid w:val="00735AEB"/>
    <w:rsid w:val="007404E3"/>
    <w:rsid w:val="00744802"/>
    <w:rsid w:val="00744DA9"/>
    <w:rsid w:val="007474C8"/>
    <w:rsid w:val="007517AB"/>
    <w:rsid w:val="007555B4"/>
    <w:rsid w:val="0076271E"/>
    <w:rsid w:val="00766036"/>
    <w:rsid w:val="0076719B"/>
    <w:rsid w:val="007704CE"/>
    <w:rsid w:val="00770C14"/>
    <w:rsid w:val="00770FBF"/>
    <w:rsid w:val="007841BB"/>
    <w:rsid w:val="00785BF6"/>
    <w:rsid w:val="007A13E8"/>
    <w:rsid w:val="007A1FFF"/>
    <w:rsid w:val="007A6D62"/>
    <w:rsid w:val="007B0292"/>
    <w:rsid w:val="007B3468"/>
    <w:rsid w:val="007B5DE5"/>
    <w:rsid w:val="007B662B"/>
    <w:rsid w:val="007C136D"/>
    <w:rsid w:val="007D0A7B"/>
    <w:rsid w:val="007D2D3B"/>
    <w:rsid w:val="007E69C0"/>
    <w:rsid w:val="007F6D76"/>
    <w:rsid w:val="007F7BC5"/>
    <w:rsid w:val="007F7EC0"/>
    <w:rsid w:val="00802426"/>
    <w:rsid w:val="0081086E"/>
    <w:rsid w:val="00810C4D"/>
    <w:rsid w:val="00812B9B"/>
    <w:rsid w:val="008206DE"/>
    <w:rsid w:val="008241DD"/>
    <w:rsid w:val="008267EC"/>
    <w:rsid w:val="00826860"/>
    <w:rsid w:val="008310DF"/>
    <w:rsid w:val="0083404C"/>
    <w:rsid w:val="00834AF3"/>
    <w:rsid w:val="00841DA1"/>
    <w:rsid w:val="00841E9E"/>
    <w:rsid w:val="0086329A"/>
    <w:rsid w:val="0086701A"/>
    <w:rsid w:val="00867E26"/>
    <w:rsid w:val="00870A3A"/>
    <w:rsid w:val="00871628"/>
    <w:rsid w:val="0088195F"/>
    <w:rsid w:val="00884913"/>
    <w:rsid w:val="00890954"/>
    <w:rsid w:val="00892799"/>
    <w:rsid w:val="0089279B"/>
    <w:rsid w:val="008A5242"/>
    <w:rsid w:val="008A736F"/>
    <w:rsid w:val="008A7442"/>
    <w:rsid w:val="008B37EA"/>
    <w:rsid w:val="008B58C6"/>
    <w:rsid w:val="008B65C7"/>
    <w:rsid w:val="008C4442"/>
    <w:rsid w:val="008D0138"/>
    <w:rsid w:val="008D11A0"/>
    <w:rsid w:val="008D475F"/>
    <w:rsid w:val="008D50DF"/>
    <w:rsid w:val="008E2888"/>
    <w:rsid w:val="008E4C3E"/>
    <w:rsid w:val="008F023C"/>
    <w:rsid w:val="008F05FA"/>
    <w:rsid w:val="008F5156"/>
    <w:rsid w:val="008F674E"/>
    <w:rsid w:val="008F6CE3"/>
    <w:rsid w:val="00901182"/>
    <w:rsid w:val="00901F05"/>
    <w:rsid w:val="00902114"/>
    <w:rsid w:val="0090646C"/>
    <w:rsid w:val="009133E3"/>
    <w:rsid w:val="00921DB3"/>
    <w:rsid w:val="00923F8C"/>
    <w:rsid w:val="00927981"/>
    <w:rsid w:val="00931035"/>
    <w:rsid w:val="009358D7"/>
    <w:rsid w:val="009400B1"/>
    <w:rsid w:val="00944F86"/>
    <w:rsid w:val="00947A90"/>
    <w:rsid w:val="00957E7B"/>
    <w:rsid w:val="00963094"/>
    <w:rsid w:val="0097031C"/>
    <w:rsid w:val="009709CC"/>
    <w:rsid w:val="009716C6"/>
    <w:rsid w:val="00972868"/>
    <w:rsid w:val="0097625E"/>
    <w:rsid w:val="009905C8"/>
    <w:rsid w:val="0099622D"/>
    <w:rsid w:val="009A12D2"/>
    <w:rsid w:val="009A37B5"/>
    <w:rsid w:val="009A769B"/>
    <w:rsid w:val="009B1C21"/>
    <w:rsid w:val="009C2556"/>
    <w:rsid w:val="009C418A"/>
    <w:rsid w:val="009C43A8"/>
    <w:rsid w:val="009C622A"/>
    <w:rsid w:val="009D2C8B"/>
    <w:rsid w:val="009D67DF"/>
    <w:rsid w:val="009D6DE3"/>
    <w:rsid w:val="009E2D12"/>
    <w:rsid w:val="009E3ADD"/>
    <w:rsid w:val="009E627B"/>
    <w:rsid w:val="009E6B49"/>
    <w:rsid w:val="009E7DFD"/>
    <w:rsid w:val="009F1522"/>
    <w:rsid w:val="009F5B27"/>
    <w:rsid w:val="009F71B7"/>
    <w:rsid w:val="00A01831"/>
    <w:rsid w:val="00A01866"/>
    <w:rsid w:val="00A02067"/>
    <w:rsid w:val="00A03CE8"/>
    <w:rsid w:val="00A05710"/>
    <w:rsid w:val="00A17207"/>
    <w:rsid w:val="00A174F1"/>
    <w:rsid w:val="00A2047B"/>
    <w:rsid w:val="00A21579"/>
    <w:rsid w:val="00A3079B"/>
    <w:rsid w:val="00A353CA"/>
    <w:rsid w:val="00A36B4E"/>
    <w:rsid w:val="00A374E4"/>
    <w:rsid w:val="00A42578"/>
    <w:rsid w:val="00A43326"/>
    <w:rsid w:val="00A63175"/>
    <w:rsid w:val="00A67BD9"/>
    <w:rsid w:val="00A734CB"/>
    <w:rsid w:val="00A7548F"/>
    <w:rsid w:val="00A91976"/>
    <w:rsid w:val="00A949ED"/>
    <w:rsid w:val="00AA03A0"/>
    <w:rsid w:val="00AB3FCA"/>
    <w:rsid w:val="00AB5A68"/>
    <w:rsid w:val="00AB62EC"/>
    <w:rsid w:val="00AB66B1"/>
    <w:rsid w:val="00AB79B6"/>
    <w:rsid w:val="00AC3FA0"/>
    <w:rsid w:val="00AC7E71"/>
    <w:rsid w:val="00AD7F34"/>
    <w:rsid w:val="00AE26E7"/>
    <w:rsid w:val="00AE46D3"/>
    <w:rsid w:val="00AE6251"/>
    <w:rsid w:val="00AF0151"/>
    <w:rsid w:val="00AF12CD"/>
    <w:rsid w:val="00AF3C57"/>
    <w:rsid w:val="00AF42F6"/>
    <w:rsid w:val="00B14C81"/>
    <w:rsid w:val="00B242A4"/>
    <w:rsid w:val="00B26310"/>
    <w:rsid w:val="00B33EDA"/>
    <w:rsid w:val="00B34447"/>
    <w:rsid w:val="00B35119"/>
    <w:rsid w:val="00B35382"/>
    <w:rsid w:val="00B36E26"/>
    <w:rsid w:val="00B438F1"/>
    <w:rsid w:val="00B505D2"/>
    <w:rsid w:val="00B53BF6"/>
    <w:rsid w:val="00B562DF"/>
    <w:rsid w:val="00B617E5"/>
    <w:rsid w:val="00B61906"/>
    <w:rsid w:val="00B6376F"/>
    <w:rsid w:val="00B67A5A"/>
    <w:rsid w:val="00B72B9D"/>
    <w:rsid w:val="00B8176F"/>
    <w:rsid w:val="00B847D4"/>
    <w:rsid w:val="00B876EC"/>
    <w:rsid w:val="00B95044"/>
    <w:rsid w:val="00B975D5"/>
    <w:rsid w:val="00BA18BE"/>
    <w:rsid w:val="00BA4FCF"/>
    <w:rsid w:val="00BA6E00"/>
    <w:rsid w:val="00BB4181"/>
    <w:rsid w:val="00BB529F"/>
    <w:rsid w:val="00BB5486"/>
    <w:rsid w:val="00BB6088"/>
    <w:rsid w:val="00BC31A3"/>
    <w:rsid w:val="00BC39D6"/>
    <w:rsid w:val="00BC4DB1"/>
    <w:rsid w:val="00BC6E2A"/>
    <w:rsid w:val="00BE3FA4"/>
    <w:rsid w:val="00BE7EC6"/>
    <w:rsid w:val="00BF025E"/>
    <w:rsid w:val="00BF3BBC"/>
    <w:rsid w:val="00C01261"/>
    <w:rsid w:val="00C05800"/>
    <w:rsid w:val="00C10778"/>
    <w:rsid w:val="00C15D8C"/>
    <w:rsid w:val="00C15DEF"/>
    <w:rsid w:val="00C23907"/>
    <w:rsid w:val="00C247BD"/>
    <w:rsid w:val="00C30FAB"/>
    <w:rsid w:val="00C33143"/>
    <w:rsid w:val="00C40749"/>
    <w:rsid w:val="00C4353C"/>
    <w:rsid w:val="00C4589F"/>
    <w:rsid w:val="00C461AA"/>
    <w:rsid w:val="00C5368E"/>
    <w:rsid w:val="00C537C2"/>
    <w:rsid w:val="00C56BC3"/>
    <w:rsid w:val="00C668D3"/>
    <w:rsid w:val="00C72287"/>
    <w:rsid w:val="00C80AE7"/>
    <w:rsid w:val="00C92F11"/>
    <w:rsid w:val="00CB0D51"/>
    <w:rsid w:val="00CB7851"/>
    <w:rsid w:val="00CC3566"/>
    <w:rsid w:val="00CC3D94"/>
    <w:rsid w:val="00CC51F7"/>
    <w:rsid w:val="00CC5B05"/>
    <w:rsid w:val="00CC77C2"/>
    <w:rsid w:val="00CD155A"/>
    <w:rsid w:val="00CD266F"/>
    <w:rsid w:val="00CF4DEC"/>
    <w:rsid w:val="00D04C60"/>
    <w:rsid w:val="00D12284"/>
    <w:rsid w:val="00D206D4"/>
    <w:rsid w:val="00D24A6C"/>
    <w:rsid w:val="00D25122"/>
    <w:rsid w:val="00D26097"/>
    <w:rsid w:val="00D306E5"/>
    <w:rsid w:val="00D44111"/>
    <w:rsid w:val="00D47C18"/>
    <w:rsid w:val="00D5263E"/>
    <w:rsid w:val="00D5673D"/>
    <w:rsid w:val="00D65701"/>
    <w:rsid w:val="00D667AE"/>
    <w:rsid w:val="00D6731C"/>
    <w:rsid w:val="00D74646"/>
    <w:rsid w:val="00D74B82"/>
    <w:rsid w:val="00D8591F"/>
    <w:rsid w:val="00D87452"/>
    <w:rsid w:val="00D8746C"/>
    <w:rsid w:val="00D90FAD"/>
    <w:rsid w:val="00D94B6D"/>
    <w:rsid w:val="00D95ED7"/>
    <w:rsid w:val="00DB039A"/>
    <w:rsid w:val="00DB3FDF"/>
    <w:rsid w:val="00DB484E"/>
    <w:rsid w:val="00DD13FB"/>
    <w:rsid w:val="00DD519F"/>
    <w:rsid w:val="00DE7B9C"/>
    <w:rsid w:val="00DF0CF7"/>
    <w:rsid w:val="00E05CC8"/>
    <w:rsid w:val="00E16A05"/>
    <w:rsid w:val="00E25C52"/>
    <w:rsid w:val="00E26F65"/>
    <w:rsid w:val="00E33D85"/>
    <w:rsid w:val="00E36BC5"/>
    <w:rsid w:val="00E406D6"/>
    <w:rsid w:val="00E42D00"/>
    <w:rsid w:val="00E45F8D"/>
    <w:rsid w:val="00E610B6"/>
    <w:rsid w:val="00E6490E"/>
    <w:rsid w:val="00E67E58"/>
    <w:rsid w:val="00E7480B"/>
    <w:rsid w:val="00E857AA"/>
    <w:rsid w:val="00E90BF8"/>
    <w:rsid w:val="00E93577"/>
    <w:rsid w:val="00EA228E"/>
    <w:rsid w:val="00EA3808"/>
    <w:rsid w:val="00EA6923"/>
    <w:rsid w:val="00EB1D20"/>
    <w:rsid w:val="00EB2531"/>
    <w:rsid w:val="00EB3FC5"/>
    <w:rsid w:val="00EB3FD2"/>
    <w:rsid w:val="00EB4020"/>
    <w:rsid w:val="00ED37F8"/>
    <w:rsid w:val="00EE36F0"/>
    <w:rsid w:val="00EE4095"/>
    <w:rsid w:val="00EE672C"/>
    <w:rsid w:val="00EE6D32"/>
    <w:rsid w:val="00F11E8E"/>
    <w:rsid w:val="00F14F8E"/>
    <w:rsid w:val="00F153BE"/>
    <w:rsid w:val="00F2286C"/>
    <w:rsid w:val="00F3108C"/>
    <w:rsid w:val="00F33AE3"/>
    <w:rsid w:val="00F35F1B"/>
    <w:rsid w:val="00F450CD"/>
    <w:rsid w:val="00F6460E"/>
    <w:rsid w:val="00F65405"/>
    <w:rsid w:val="00F675BA"/>
    <w:rsid w:val="00F67D03"/>
    <w:rsid w:val="00F7116C"/>
    <w:rsid w:val="00F71E48"/>
    <w:rsid w:val="00F83EA2"/>
    <w:rsid w:val="00F85888"/>
    <w:rsid w:val="00F91B14"/>
    <w:rsid w:val="00F93EC3"/>
    <w:rsid w:val="00F9707F"/>
    <w:rsid w:val="00FA03C0"/>
    <w:rsid w:val="00FB1761"/>
    <w:rsid w:val="00FB416B"/>
    <w:rsid w:val="00FB7780"/>
    <w:rsid w:val="00FB7D7D"/>
    <w:rsid w:val="00FD1C50"/>
    <w:rsid w:val="00FD7FB6"/>
    <w:rsid w:val="00FE4575"/>
    <w:rsid w:val="00FE5CFF"/>
    <w:rsid w:val="00FE61F7"/>
    <w:rsid w:val="00FF4A87"/>
    <w:rsid w:val="00FF5E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22934"/>
  <w15:docId w15:val="{301165D1-A39B-4AF1-91D9-86A8608F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sz w:val="24"/>
    </w:rPr>
  </w:style>
  <w:style w:type="paragraph" w:styleId="Ttulo1">
    <w:name w:val="heading 1"/>
    <w:basedOn w:val="Normal"/>
    <w:next w:val="Normal"/>
    <w:link w:val="Ttulo1Char"/>
    <w:uiPriority w:val="9"/>
    <w:qFormat/>
    <w:rsid w:val="00870A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8340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8B65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8108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rsid w:val="00931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31035"/>
    <w:rPr>
      <w:rFonts w:ascii="Courier New" w:eastAsia="Times New Roman" w:hAnsi="Courier New" w:cs="Courier New"/>
      <w:sz w:val="20"/>
      <w:szCs w:val="20"/>
      <w:lang w:eastAsia="pt-BR"/>
    </w:rPr>
  </w:style>
  <w:style w:type="character" w:customStyle="1" w:styleId="Ttulo1Char">
    <w:name w:val="Título 1 Char"/>
    <w:basedOn w:val="Fontepargpadro"/>
    <w:link w:val="Ttulo1"/>
    <w:uiPriority w:val="9"/>
    <w:rsid w:val="00870A3A"/>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870A3A"/>
    <w:pPr>
      <w:outlineLvl w:val="9"/>
    </w:pPr>
    <w:rPr>
      <w:lang w:eastAsia="pt-BR"/>
    </w:rPr>
  </w:style>
  <w:style w:type="paragraph" w:styleId="PargrafodaLista">
    <w:name w:val="List Paragraph"/>
    <w:basedOn w:val="Normal"/>
    <w:uiPriority w:val="34"/>
    <w:qFormat/>
    <w:rsid w:val="00870A3A"/>
    <w:pPr>
      <w:ind w:left="720"/>
      <w:contextualSpacing/>
    </w:pPr>
  </w:style>
  <w:style w:type="paragraph" w:styleId="Sumrio1">
    <w:name w:val="toc 1"/>
    <w:basedOn w:val="Normal"/>
    <w:next w:val="Normal"/>
    <w:autoRedefine/>
    <w:uiPriority w:val="39"/>
    <w:unhideWhenUsed/>
    <w:rsid w:val="00656786"/>
    <w:pPr>
      <w:tabs>
        <w:tab w:val="right" w:leader="dot" w:pos="9061"/>
      </w:tabs>
      <w:spacing w:after="100"/>
    </w:pPr>
  </w:style>
  <w:style w:type="character" w:styleId="Hyperlink">
    <w:name w:val="Hyperlink"/>
    <w:basedOn w:val="Fontepargpadro"/>
    <w:uiPriority w:val="99"/>
    <w:unhideWhenUsed/>
    <w:rsid w:val="00B67A5A"/>
    <w:rPr>
      <w:color w:val="0563C1" w:themeColor="hyperlink"/>
      <w:u w:val="single"/>
    </w:rPr>
  </w:style>
  <w:style w:type="paragraph" w:styleId="Cabealho">
    <w:name w:val="header"/>
    <w:basedOn w:val="Normal"/>
    <w:link w:val="CabealhoChar"/>
    <w:uiPriority w:val="99"/>
    <w:unhideWhenUsed/>
    <w:rsid w:val="00B67A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67A5A"/>
  </w:style>
  <w:style w:type="paragraph" w:styleId="Rodap">
    <w:name w:val="footer"/>
    <w:basedOn w:val="Normal"/>
    <w:link w:val="RodapChar"/>
    <w:uiPriority w:val="99"/>
    <w:unhideWhenUsed/>
    <w:rsid w:val="00B67A5A"/>
    <w:pPr>
      <w:tabs>
        <w:tab w:val="center" w:pos="4252"/>
        <w:tab w:val="right" w:pos="8504"/>
      </w:tabs>
      <w:spacing w:after="0" w:line="240" w:lineRule="auto"/>
    </w:pPr>
  </w:style>
  <w:style w:type="character" w:customStyle="1" w:styleId="RodapChar">
    <w:name w:val="Rodapé Char"/>
    <w:basedOn w:val="Fontepargpadro"/>
    <w:link w:val="Rodap"/>
    <w:uiPriority w:val="99"/>
    <w:rsid w:val="00B67A5A"/>
  </w:style>
  <w:style w:type="paragraph" w:styleId="Textodenotaderodap">
    <w:name w:val="footnote text"/>
    <w:basedOn w:val="Normal"/>
    <w:link w:val="TextodenotaderodapChar"/>
    <w:uiPriority w:val="99"/>
    <w:semiHidden/>
    <w:unhideWhenUsed/>
    <w:rsid w:val="00010A8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10A86"/>
    <w:rPr>
      <w:sz w:val="20"/>
      <w:szCs w:val="20"/>
    </w:rPr>
  </w:style>
  <w:style w:type="character" w:styleId="Refdenotaderodap">
    <w:name w:val="footnote reference"/>
    <w:basedOn w:val="Fontepargpadro"/>
    <w:uiPriority w:val="99"/>
    <w:semiHidden/>
    <w:unhideWhenUsed/>
    <w:rsid w:val="00010A86"/>
    <w:rPr>
      <w:vertAlign w:val="superscript"/>
    </w:rPr>
  </w:style>
  <w:style w:type="paragraph" w:styleId="NormalWeb">
    <w:name w:val="Normal (Web)"/>
    <w:basedOn w:val="Normal"/>
    <w:uiPriority w:val="99"/>
    <w:unhideWhenUsed/>
    <w:rsid w:val="00010A8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Sumrio2">
    <w:name w:val="toc 2"/>
    <w:basedOn w:val="Normal"/>
    <w:next w:val="Normal"/>
    <w:autoRedefine/>
    <w:uiPriority w:val="39"/>
    <w:unhideWhenUsed/>
    <w:rsid w:val="00A21579"/>
    <w:pPr>
      <w:tabs>
        <w:tab w:val="right" w:leader="dot" w:pos="9061"/>
      </w:tabs>
      <w:spacing w:after="100"/>
    </w:pPr>
    <w:rPr>
      <w:rFonts w:ascii="Arial" w:hAnsi="Arial" w:cs="Arial"/>
      <w:noProof/>
    </w:rPr>
  </w:style>
  <w:style w:type="paragraph" w:styleId="Textodebalo">
    <w:name w:val="Balloon Text"/>
    <w:basedOn w:val="Normal"/>
    <w:link w:val="TextodebaloChar"/>
    <w:uiPriority w:val="99"/>
    <w:semiHidden/>
    <w:unhideWhenUsed/>
    <w:rsid w:val="005A5AB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A5AB2"/>
    <w:rPr>
      <w:rFonts w:ascii="Segoe UI" w:hAnsi="Segoe UI" w:cs="Segoe UI"/>
      <w:sz w:val="18"/>
      <w:szCs w:val="18"/>
    </w:rPr>
  </w:style>
  <w:style w:type="paragraph" w:styleId="Sumrio3">
    <w:name w:val="toc 3"/>
    <w:basedOn w:val="Normal"/>
    <w:next w:val="Normal"/>
    <w:autoRedefine/>
    <w:uiPriority w:val="39"/>
    <w:unhideWhenUsed/>
    <w:rsid w:val="00656786"/>
    <w:pPr>
      <w:tabs>
        <w:tab w:val="right" w:leader="dot" w:pos="9061"/>
      </w:tabs>
      <w:spacing w:after="100"/>
    </w:pPr>
  </w:style>
  <w:style w:type="paragraph" w:styleId="Sumrio4">
    <w:name w:val="toc 4"/>
    <w:basedOn w:val="Normal"/>
    <w:next w:val="Normal"/>
    <w:autoRedefine/>
    <w:uiPriority w:val="39"/>
    <w:unhideWhenUsed/>
    <w:rsid w:val="00F67D03"/>
    <w:pPr>
      <w:tabs>
        <w:tab w:val="right" w:leader="dot" w:pos="9061"/>
      </w:tabs>
      <w:spacing w:after="100"/>
      <w:ind w:left="850"/>
    </w:pPr>
  </w:style>
  <w:style w:type="paragraph" w:styleId="Legenda">
    <w:name w:val="caption"/>
    <w:basedOn w:val="Normal"/>
    <w:next w:val="Normal"/>
    <w:uiPriority w:val="35"/>
    <w:unhideWhenUsed/>
    <w:qFormat/>
    <w:rsid w:val="00E406D6"/>
    <w:pPr>
      <w:spacing w:after="200" w:line="240" w:lineRule="auto"/>
      <w:jc w:val="center"/>
    </w:pPr>
    <w:rPr>
      <w:rFonts w:ascii="Arial" w:hAnsi="Arial"/>
      <w:iCs/>
      <w:sz w:val="20"/>
      <w:szCs w:val="18"/>
    </w:rPr>
  </w:style>
  <w:style w:type="paragraph" w:styleId="ndicedeilustraes">
    <w:name w:val="table of figures"/>
    <w:basedOn w:val="Normal"/>
    <w:next w:val="Normal"/>
    <w:uiPriority w:val="99"/>
    <w:unhideWhenUsed/>
    <w:rsid w:val="000249FF"/>
    <w:pPr>
      <w:spacing w:after="0"/>
    </w:pPr>
  </w:style>
  <w:style w:type="character" w:customStyle="1" w:styleId="Ttulo4Char">
    <w:name w:val="Título 4 Char"/>
    <w:basedOn w:val="Fontepargpadro"/>
    <w:link w:val="Ttulo4"/>
    <w:uiPriority w:val="9"/>
    <w:semiHidden/>
    <w:rsid w:val="0081086E"/>
    <w:rPr>
      <w:rFonts w:asciiTheme="majorHAnsi" w:eastAsiaTheme="majorEastAsia" w:hAnsiTheme="majorHAnsi" w:cstheme="majorBidi"/>
      <w:i/>
      <w:iCs/>
      <w:color w:val="2E74B5" w:themeColor="accent1" w:themeShade="BF"/>
    </w:rPr>
  </w:style>
  <w:style w:type="character" w:customStyle="1" w:styleId="Ttulo3Char">
    <w:name w:val="Título 3 Char"/>
    <w:basedOn w:val="Fontepargpadro"/>
    <w:link w:val="Ttulo3"/>
    <w:uiPriority w:val="9"/>
    <w:semiHidden/>
    <w:rsid w:val="008B65C7"/>
    <w:rPr>
      <w:rFonts w:asciiTheme="majorHAnsi" w:eastAsiaTheme="majorEastAsia" w:hAnsiTheme="majorHAnsi" w:cstheme="majorBidi"/>
      <w:color w:val="1F4D78" w:themeColor="accent1" w:themeShade="7F"/>
      <w:sz w:val="24"/>
      <w:szCs w:val="24"/>
    </w:rPr>
  </w:style>
  <w:style w:type="table" w:customStyle="1" w:styleId="SimplesTabela11">
    <w:name w:val="Simples Tabela 11"/>
    <w:basedOn w:val="Tabelanormal"/>
    <w:uiPriority w:val="41"/>
    <w:rsid w:val="00092D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e">
    <w:name w:val="Emphasis"/>
    <w:basedOn w:val="Fontepargpadro"/>
    <w:uiPriority w:val="20"/>
    <w:qFormat/>
    <w:rsid w:val="00210520"/>
    <w:rPr>
      <w:i/>
      <w:iCs/>
    </w:rPr>
  </w:style>
  <w:style w:type="paragraph" w:styleId="Remissivo1">
    <w:name w:val="index 1"/>
    <w:basedOn w:val="Normal"/>
    <w:next w:val="Normal"/>
    <w:autoRedefine/>
    <w:uiPriority w:val="99"/>
    <w:semiHidden/>
    <w:unhideWhenUsed/>
    <w:rsid w:val="005A6992"/>
    <w:pPr>
      <w:spacing w:after="0" w:line="240" w:lineRule="auto"/>
      <w:ind w:left="220" w:hanging="220"/>
    </w:pPr>
  </w:style>
  <w:style w:type="character" w:customStyle="1" w:styleId="Ttulo2Char">
    <w:name w:val="Título 2 Char"/>
    <w:basedOn w:val="Fontepargpadro"/>
    <w:link w:val="Ttulo2"/>
    <w:uiPriority w:val="9"/>
    <w:semiHidden/>
    <w:rsid w:val="0083404C"/>
    <w:rPr>
      <w:rFonts w:asciiTheme="majorHAnsi" w:eastAsiaTheme="majorEastAsia" w:hAnsiTheme="majorHAnsi" w:cstheme="majorBidi"/>
      <w:color w:val="2E74B5" w:themeColor="accent1" w:themeShade="BF"/>
      <w:sz w:val="26"/>
      <w:szCs w:val="26"/>
    </w:rPr>
  </w:style>
  <w:style w:type="paragraph" w:styleId="SemEspaamento">
    <w:name w:val="No Spacing"/>
    <w:uiPriority w:val="1"/>
    <w:qFormat/>
    <w:rsid w:val="00C92F11"/>
    <w:pPr>
      <w:spacing w:after="0" w:line="240" w:lineRule="auto"/>
    </w:pPr>
  </w:style>
  <w:style w:type="character" w:styleId="TextodoEspaoReservado">
    <w:name w:val="Placeholder Text"/>
    <w:basedOn w:val="Fontepargpadro"/>
    <w:uiPriority w:val="99"/>
    <w:semiHidden/>
    <w:rsid w:val="006405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2600">
      <w:bodyDiv w:val="1"/>
      <w:marLeft w:val="0"/>
      <w:marRight w:val="0"/>
      <w:marTop w:val="0"/>
      <w:marBottom w:val="0"/>
      <w:divBdr>
        <w:top w:val="none" w:sz="0" w:space="0" w:color="auto"/>
        <w:left w:val="none" w:sz="0" w:space="0" w:color="auto"/>
        <w:bottom w:val="none" w:sz="0" w:space="0" w:color="auto"/>
        <w:right w:val="none" w:sz="0" w:space="0" w:color="auto"/>
      </w:divBdr>
      <w:divsChild>
        <w:div w:id="1961692194">
          <w:marLeft w:val="0"/>
          <w:marRight w:val="0"/>
          <w:marTop w:val="0"/>
          <w:marBottom w:val="0"/>
          <w:divBdr>
            <w:top w:val="none" w:sz="0" w:space="0" w:color="auto"/>
            <w:left w:val="none" w:sz="0" w:space="0" w:color="auto"/>
            <w:bottom w:val="none" w:sz="0" w:space="0" w:color="auto"/>
            <w:right w:val="none" w:sz="0" w:space="0" w:color="auto"/>
          </w:divBdr>
          <w:divsChild>
            <w:div w:id="1172917720">
              <w:marLeft w:val="0"/>
              <w:marRight w:val="0"/>
              <w:marTop w:val="0"/>
              <w:marBottom w:val="0"/>
              <w:divBdr>
                <w:top w:val="none" w:sz="0" w:space="0" w:color="auto"/>
                <w:left w:val="none" w:sz="0" w:space="0" w:color="auto"/>
                <w:bottom w:val="none" w:sz="0" w:space="0" w:color="auto"/>
                <w:right w:val="none" w:sz="0" w:space="0" w:color="auto"/>
              </w:divBdr>
              <w:divsChild>
                <w:div w:id="3710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43470">
      <w:bodyDiv w:val="1"/>
      <w:marLeft w:val="0"/>
      <w:marRight w:val="0"/>
      <w:marTop w:val="0"/>
      <w:marBottom w:val="0"/>
      <w:divBdr>
        <w:top w:val="none" w:sz="0" w:space="0" w:color="auto"/>
        <w:left w:val="none" w:sz="0" w:space="0" w:color="auto"/>
        <w:bottom w:val="none" w:sz="0" w:space="0" w:color="auto"/>
        <w:right w:val="none" w:sz="0" w:space="0" w:color="auto"/>
      </w:divBdr>
      <w:divsChild>
        <w:div w:id="519202677">
          <w:marLeft w:val="0"/>
          <w:marRight w:val="0"/>
          <w:marTop w:val="0"/>
          <w:marBottom w:val="0"/>
          <w:divBdr>
            <w:top w:val="none" w:sz="0" w:space="0" w:color="auto"/>
            <w:left w:val="none" w:sz="0" w:space="0" w:color="auto"/>
            <w:bottom w:val="none" w:sz="0" w:space="0" w:color="auto"/>
            <w:right w:val="none" w:sz="0" w:space="0" w:color="auto"/>
          </w:divBdr>
          <w:divsChild>
            <w:div w:id="2025936309">
              <w:marLeft w:val="0"/>
              <w:marRight w:val="0"/>
              <w:marTop w:val="0"/>
              <w:marBottom w:val="0"/>
              <w:divBdr>
                <w:top w:val="none" w:sz="0" w:space="0" w:color="auto"/>
                <w:left w:val="none" w:sz="0" w:space="0" w:color="auto"/>
                <w:bottom w:val="none" w:sz="0" w:space="0" w:color="auto"/>
                <w:right w:val="none" w:sz="0" w:space="0" w:color="auto"/>
              </w:divBdr>
              <w:divsChild>
                <w:div w:id="768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791870">
      <w:bodyDiv w:val="1"/>
      <w:marLeft w:val="0"/>
      <w:marRight w:val="0"/>
      <w:marTop w:val="0"/>
      <w:marBottom w:val="0"/>
      <w:divBdr>
        <w:top w:val="none" w:sz="0" w:space="0" w:color="auto"/>
        <w:left w:val="none" w:sz="0" w:space="0" w:color="auto"/>
        <w:bottom w:val="none" w:sz="0" w:space="0" w:color="auto"/>
        <w:right w:val="none" w:sz="0" w:space="0" w:color="auto"/>
      </w:divBdr>
      <w:divsChild>
        <w:div w:id="1686597158">
          <w:marLeft w:val="0"/>
          <w:marRight w:val="0"/>
          <w:marTop w:val="0"/>
          <w:marBottom w:val="0"/>
          <w:divBdr>
            <w:top w:val="none" w:sz="0" w:space="0" w:color="auto"/>
            <w:left w:val="none" w:sz="0" w:space="0" w:color="auto"/>
            <w:bottom w:val="none" w:sz="0" w:space="0" w:color="auto"/>
            <w:right w:val="none" w:sz="0" w:space="0" w:color="auto"/>
          </w:divBdr>
          <w:divsChild>
            <w:div w:id="219557984">
              <w:marLeft w:val="0"/>
              <w:marRight w:val="0"/>
              <w:marTop w:val="0"/>
              <w:marBottom w:val="0"/>
              <w:divBdr>
                <w:top w:val="none" w:sz="0" w:space="0" w:color="auto"/>
                <w:left w:val="none" w:sz="0" w:space="0" w:color="auto"/>
                <w:bottom w:val="none" w:sz="0" w:space="0" w:color="auto"/>
                <w:right w:val="none" w:sz="0" w:space="0" w:color="auto"/>
              </w:divBdr>
              <w:divsChild>
                <w:div w:id="2520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010D4-D267-48AD-9CEF-91D1F1BC5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3530</Words>
  <Characters>15569</Characters>
  <Application>Microsoft Office Word</Application>
  <DocSecurity>0</DocSecurity>
  <Lines>409</Lines>
  <Paragraphs>298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E Avaliação Técnica De Um Sistema Iot De Baixo Custo Para Monitoramento Ambiental Em Salas De Aula</dc:title>
  <dc:subject>Trabalho de Conclusão de Curso - Ciência da Computação</dc:subject>
  <dc:creator>Enrico Garcia Silva Costa; Leonardo Pedrozo Elias Rodrigues</dc:creator>
  <cp:keywords/>
  <dc:description/>
  <cp:lastModifiedBy>RAFAEL MARCELINO DE JESUS</cp:lastModifiedBy>
  <cp:revision>2</cp:revision>
  <cp:lastPrinted>2018-10-29T17:21:00Z</cp:lastPrinted>
  <dcterms:created xsi:type="dcterms:W3CDTF">2026-03-02T22:50:00Z</dcterms:created>
  <dcterms:modified xsi:type="dcterms:W3CDTF">2026-03-02T22:50:00Z</dcterms:modified>
</cp:coreProperties>
</file>