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Relatório de acompanhamento do TCC</w:t>
      </w:r>
    </w:p>
    <w:p>
      <w:r>
        <w:rPr>
          <w:b w:val="0"/>
        </w:rPr>
      </w:r>
      <w:r>
        <w:rPr>
          <w:b/>
        </w:rPr>
        <w:t>Data de referência:</w:t>
      </w:r>
      <w:r>
        <w:rPr>
          <w:b w:val="0"/>
        </w:rPr>
        <w:t xml:space="preserve"> 6 de outubro de 2026</w:t>
      </w:r>
    </w:p>
    <w:p>
      <w:r>
        <w:rPr>
          <w:b w:val="0"/>
        </w:rPr>
      </w:r>
      <w:r>
        <w:rPr>
          <w:b/>
        </w:rPr>
        <w:t>Curso:</w:t>
      </w:r>
      <w:r>
        <w:rPr>
          <w:b w:val="0"/>
        </w:rPr>
        <w:t xml:space="preserve"> Ciência da Computação — UNIP Araçatuba</w:t>
      </w:r>
    </w:p>
    <w:p>
      <w:r>
        <w:rPr>
          <w:b w:val="0"/>
        </w:rPr>
      </w:r>
      <w:r>
        <w:rPr>
          <w:b/>
        </w:rPr>
        <w:t>Autores:</w:t>
      </w:r>
      <w:r>
        <w:rPr>
          <w:b w:val="0"/>
        </w:rPr>
        <w:t xml:space="preserve"> Enrico Garcia Silva Costa (RA N295694) e Leonardo Pedrozo Elias Rodrigues (RA G78GGE-0)</w:t>
      </w:r>
    </w:p>
    <w:p>
      <w:r>
        <w:rPr>
          <w:b w:val="0"/>
        </w:rPr>
      </w:r>
      <w:r>
        <w:rPr>
          <w:b/>
        </w:rPr>
        <w:t>Orientador:</w:t>
      </w:r>
      <w:r>
        <w:rPr>
          <w:b w:val="0"/>
        </w:rPr>
        <w:t xml:space="preserve"> Prof. Me. Rafael Marcelino de Jesus</w:t>
      </w:r>
    </w:p>
    <w:p>
      <w:r>
        <w:rPr>
          <w:b w:val="0"/>
        </w:rPr>
      </w:r>
      <w:r>
        <w:rPr>
          <w:b/>
        </w:rPr>
        <w:t>Previsão de entrega final informada:</w:t>
      </w:r>
      <w:r>
        <w:rPr>
          <w:b w:val="0"/>
        </w:rPr>
        <w:t xml:space="preserve"> 30 de novembro de 2026</w:t>
      </w:r>
    </w:p>
    <w:p>
      <w:pPr>
        <w:pStyle w:val="Heading1"/>
      </w:pPr>
      <w:r>
        <w:rPr>
          <w:b w:val="0"/>
        </w:rPr>
        <w:t>1. Síntese executiva</w:t>
      </w:r>
    </w:p>
    <w:p>
      <w:r>
        <w:rPr>
          <w:b w:val="0"/>
        </w:rPr>
        <w:t>O TCC está na fase final de implementação e de preparação da validação experimental. O sistema proposto — um nó IoT de baixo custo para monitorar temperatura do ar, umidade relativa e iluminância em uma sala de aula — já possui hardware montado e reconhecido, firmware gravado no ESP32, transmissão real de medições, API, banco de dados MySQL e aplicação web integrados.</w:t>
      </w:r>
    </w:p>
    <w:p>
      <w:r>
        <w:rPr>
          <w:b w:val="0"/>
        </w:rPr>
        <w:t>O percurso técnico do nó físico até a API já foi demonstrado tanto na rede local quanto por uma URL HTTPS pública temporária. A aplicação também possui autenticação por usuário, cadastro de salas e nós, monitoramento em tempo real por sala, histórico, exportação CSV, alertas locais versionados e telemetria operacional.</w:t>
      </w:r>
    </w:p>
    <w:p>
      <w:r>
        <w:rPr>
          <w:b w:val="0"/>
        </w:rPr>
        <w:t>Ainda não foram iniciadas a coleta ambiental válida nem a validação quantitativa dos sensores com instrumentos de referência. Portanto, resultados sobre as condições da sala, precisão metrológica, completude em campo, disponibilidade e latência ponta a ponta continuam pendentes. Essa separação é deliberada: o trabalho não antecipa resultados que ainda precisam ser medidos.</w:t>
      </w:r>
    </w:p>
    <w:p>
      <w:pPr>
        <w:pStyle w:val="Heading1"/>
      </w:pPr>
      <w:r>
        <w:rPr>
          <w:b w:val="0"/>
        </w:rPr>
        <w:t>2. Projeto e delimitação</w:t>
      </w:r>
    </w:p>
    <w:p>
      <w:r>
        <w:rPr>
          <w:b w:val="0"/>
        </w:rPr>
      </w:r>
      <w:r>
        <w:rPr>
          <w:b/>
        </w:rPr>
        <w:t>Título aprovado pelos autores:</w:t>
      </w:r>
      <w:r>
        <w:rPr>
          <w:b w:val="0"/>
        </w:rPr>
        <w:t xml:space="preserve"> *Desenvolvimento e avaliação técnica de um sistema IoT de baixo custo para monitoramento ambiental em salas de aula.*</w:t>
      </w:r>
    </w:p>
    <w:p>
      <w:r>
        <w:rPr>
          <w:b w:val="0"/>
        </w:rPr>
      </w:r>
      <w:r>
        <w:rPr>
          <w:b/>
        </w:rPr>
        <w:t>Pergunta de pesquisa:</w:t>
      </w:r>
      <w:r>
        <w:rPr>
          <w:b w:val="0"/>
        </w:rPr>
        <w:t xml:space="preserve"> em que medida um sistema IoT de baixo custo, desenvolvido para o monitoramento ambiental de uma sala de aula, atende aos requisitos técnicos de aquisição, transmissão, armazenamento e visualização dos dados?</w:t>
      </w:r>
    </w:p>
    <w:p>
      <w:r>
        <w:rPr>
          <w:b w:val="0"/>
        </w:rPr>
      </w:r>
      <w:r>
        <w:rPr>
          <w:b/>
        </w:rPr>
        <w:t>Objetivo geral:</w:t>
      </w:r>
      <w:r>
        <w:rPr>
          <w:b w:val="0"/>
        </w:rPr>
        <w:t xml:space="preserve"> desenvolver e avaliar tecnicamente o sistema por meio de avaliação parcial dos sensores e de testes ponta a ponta.</w:t>
      </w:r>
    </w:p>
    <w:p>
      <w:r>
        <w:rPr>
          <w:b w:val="0"/>
        </w:rPr>
        <w:t>O estudo de caso prevê uma sala de aula. O núcleo medido é formado por temperatura do ar, umidade relativa e iluminância. O sistema não mede ruído, CO₂, partículas, ocupação, áudio ou imagem; também não pretende demonstrar conforto percebido, aprendizagem, qualidade ambiental global ou impacto gerencial.</w:t>
      </w:r>
    </w:p>
    <w:p>
      <w:pPr>
        <w:pStyle w:val="Heading1"/>
      </w:pPr>
      <w:r>
        <w:rPr>
          <w:b w:val="0"/>
        </w:rPr>
        <w:t>3. Arquitetura implementada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Camada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Implementação atual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Situação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Nó IoT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ESP32-D0WD-V3, SHT3X e VEML7700; firmware PlatformIO/Arduino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Montado, inicializado e com leitura/transmissão real demonstradas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Aquisição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Temperatura, umidade relativa e iluminância; identificação temporal e estados de qualidade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Confiabilidade do nó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Fila persistente LittleFS para até 256 registros, reenvio ordenado e contabilização de perdas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Implementada no firmware; ensaio físico de recuperação pendente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Comunicação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API HTTP/JSON; operação remota prevista via HTTPS por túnel seguro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Local e túnel HTTPS comprovados; piloto com hotspot do celular pendente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API e banco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Next.js/TypeScript, Route Handlers, MySQL, migrações versionadas e idempotência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Implementados e testados localmente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Aplicação web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Dashboard por sala, Caderno de observação, CSV, Central de alertas e telemetria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Implementados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Login obrigatório, perfis ADMIN e VIEWER, sessões por cookie HttpOnly e senhas derivadas com scrypt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Implementada no ambiente local</w:t>
            </w:r>
          </w:p>
        </w:tc>
      </w:tr>
    </w:tbl>
    <w:p/>
    <w:p>
      <w:pPr>
        <w:pStyle w:val="Heading1"/>
      </w:pPr>
      <w:r>
        <w:rPr>
          <w:b w:val="0"/>
        </w:rPr>
        <w:t>4. Evidências obtidas até o momento</w:t>
      </w:r>
    </w:p>
    <w:p>
      <w:pPr>
        <w:pStyle w:val="Heading2"/>
      </w:pPr>
      <w:r>
        <w:rPr>
          <w:b w:val="0"/>
        </w:rPr>
        <w:t>4.1 Hardware e firmware</w:t>
      </w:r>
    </w:p>
    <w:p>
      <w:pPr>
        <w:pStyle w:val="ListBullet"/>
      </w:pPr>
      <w:r>
        <w:rPr>
          <w:b w:val="0"/>
        </w:rPr>
        <w:t>Em 17/09/2026, a placa física foi reconhecida em COM3 como ESP32-D0WD-V3, com 4 MB de flash e interface USB–serial CP210x.</w:t>
      </w:r>
    </w:p>
    <w:p>
      <w:pPr>
        <w:pStyle w:val="ListBullet"/>
      </w:pPr>
      <w:r>
        <w:rPr>
          <w:b w:val="0"/>
        </w:rPr>
        <w:t>Os sensores SHT3X e VEML7700 foram inicializados no barramento I²C, usando GPIO 32 (SDA) e GPIO 33 (SCL).</w:t>
      </w:r>
    </w:p>
    <w:p>
      <w:pPr>
        <w:pStyle w:val="ListBullet"/>
      </w:pPr>
      <w:r>
        <w:rPr>
          <w:b w:val="0"/>
        </w:rPr>
        <w:t>O diagnóstico local registrou leituras numéricas dos três parâmetros. Também foi observada resposta qualitativa esperada ao variar luz, temperatura e umidade; esse ensaio não é uma validação de exatidão.</w:t>
      </w:r>
    </w:p>
    <w:p>
      <w:pPr>
        <w:pStyle w:val="ListBullet"/>
      </w:pPr>
      <w:r>
        <w:rPr>
          <w:b w:val="0"/>
        </w:rPr>
        <w:t>O firmware completo foi gravado no nó físico e, em 17/09/2026, uma medição foi confirmada pela API local.</w:t>
      </w:r>
    </w:p>
    <w:p>
      <w:pPr>
        <w:pStyle w:val="ListBullet"/>
      </w:pPr>
      <w:r>
        <w:rPr>
          <w:b w:val="0"/>
        </w:rPr>
        <w:t>Em 18/09/2026, foi comprovada a sincronização temporal pelo mecanismo alternativo que usa o cabeçalho Date da API quando o NTP não está disponível na rede local.</w:t>
      </w:r>
    </w:p>
    <w:p>
      <w:pPr>
        <w:pStyle w:val="ListBullet"/>
      </w:pPr>
      <w:r>
        <w:rPr>
          <w:b w:val="0"/>
        </w:rPr>
        <w:t>Em 21/09/2026, o nó físico confirmou múltiplas medições para a API por um Quick Tunnel HTTPS, conectado ao hotspot do Windows. A configuração preserva a validação de certificado TLS; não utiliza modo inseguro.</w:t>
      </w:r>
    </w:p>
    <w:p>
      <w:pPr>
        <w:pStyle w:val="Heading2"/>
      </w:pPr>
      <w:r>
        <w:rPr>
          <w:b w:val="0"/>
        </w:rPr>
        <w:t>4.2 API, banco de dados e aplicação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Teste/evidência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Resultado observado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Limite da evidência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T005 — API local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111 casos controlados, sem resposta HTTP 5xx; P95 interno de 149,558 ms, abaixo do critério local de 500 ms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Não mede hospedagem definitiva ou rede da sala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T006 — persistência MySQL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100 de 100 registros esperados reconciliados, sem identificadores duplicados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Ensaio local controlado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T007 — dashboard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Cadeia API–MySQL–dashboard validada; 100% de correspondência no benchmark local; P95 de 56 ms para API–MySQL–renderização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Não inclui firmware físico, rede do ambiente ou atualização periódica; status parcial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T008 — faixas locais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Casos abaixo, no limite e acima das faixas testados; histórico e bloqueio durante execução ativa verificados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Faixas são administrativas e informativas, não normativas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T012 — tratamento de dados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Motor controlado classificou lacunas, duplicatas, falhas e exclusões sem imputar valores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Falta integrar dados brutos reais, checksums e coleta efetiva</w:t>
            </w:r>
          </w:p>
        </w:tc>
      </w:tr>
    </w:tbl>
    <w:p/>
    <w:p>
      <w:r>
        <w:rPr>
          <w:b w:val="0"/>
        </w:rPr>
        <w:t>Além dessas evidências, foram concluídos os fluxos de cadastro e edição de salas e nós, associação histórica entre nó e sala, controle de acesso por perfil, relatórios por sala, exportação CSV e consulta multissala da Central de alertas. A base de software passou por testes unitários, lint, build de produção e ensaios integrados locais registrados no projeto.</w:t>
      </w:r>
    </w:p>
    <w:p>
      <w:pPr>
        <w:pStyle w:val="Heading1"/>
      </w:pPr>
      <w:r>
        <w:rPr>
          <w:b w:val="0"/>
        </w:rPr>
        <w:t>5. Protocolo já definido para a etapa experimental</w:t>
      </w:r>
    </w:p>
    <w:p>
      <w:r>
        <w:rPr>
          <w:b w:val="0"/>
        </w:rPr>
        <w:t>O plano experimental está documentado antes da coleta, com critérios de aceitação e tratamento previsto para falhas. A coleta principal será realizada em uma sala de aula, durante duas semanas letivas noturnas, com meta de 10 noites e mínimo de 8 noites válidas. A janela diária prevista é das 18h45 às 22h00.</w:t>
      </w:r>
    </w:p>
    <w:p>
      <w:r>
        <w:rPr>
          <w:b w:val="0"/>
        </w:rPr>
        <w:t>O intervalo inicial esperado é de 60 segundos, equivalente a aproximadamente 195 registros por noite. Uma noite será considerada válida somente se cobrir a janela planejada, apresentar pelo menos 95% de completude e disponibilidade, manter o intervalo registrado, possuir ao menos 99% de registros temporalmente sincronizados e não apresentar inconsistência ou duplicidade não explicada.</w:t>
      </w:r>
    </w:p>
    <w:p>
      <w:r>
        <w:rPr>
          <w:b w:val="0"/>
        </w:rPr>
        <w:t>Os dados brutos serão preservados sem edição. O tratamento será produzido em arquivos derivados e scripts versionados, distinguindo dados operacionais de dados ambientais válidos para análise.</w:t>
      </w:r>
    </w:p>
    <w:p>
      <w:pPr>
        <w:pStyle w:val="Heading1"/>
      </w:pPr>
      <w:r>
        <w:rPr>
          <w:b w:val="0"/>
        </w:rPr>
        <w:t>6. Situação por frente de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Frente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Situação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Observação para acompanhamento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Escopo, problema e objetivos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Concluída pelos autores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Falta submissão formal ao orientador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Fundamentação e capítulos iniciais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Em desenvolvimento avançado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Capítulos 1 a 5 possuem primeiras versões; conclusão depende dos resultados físicos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Hardware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Parcialmente validado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Boot, I²C, leituras e integração inicial confirmados; falta estabilidade e comparação com referência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Firmware e integração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Parcialmente validado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Transmissão local e HTTPS comprovadas; faltam testes de fila offline, reinicialização e operação em campo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Banco, API e interface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Implementados e testados localmente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Próxima demonstração pode apresentar esquema, migrações, relações e execução do MySQL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Segurança e administração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Implementadas localmente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Resta definir credenciais definitivas dos dispositivos conforme o ambiente operacional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Coleta e análise de dados reais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Não iniciadas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Dependem do piloto, das datas e dos instrumentos de referência</w:t>
            </w:r>
          </w:p>
        </w:tc>
      </w:tr>
    </w:tbl>
    <w:p/>
    <w:p>
      <w:pPr>
        <w:pStyle w:val="Heading1"/>
      </w:pPr>
      <w:r>
        <w:rPr>
          <w:b w:val="0"/>
        </w:rPr>
        <w:t>7. Pendências críticas da reta final</w:t>
      </w:r>
    </w:p>
    <w:p>
      <w:pPr>
        <w:pStyle w:val="ListNumber"/>
      </w:pPr>
      <w:r>
        <w:rPr>
          <w:b w:val="0"/>
        </w:rPr>
        <w:t>Executar uma noite-piloto usando o hotspot do celular no ambiente de estudo, registrando disponibilidade, conectividade, latência e recuperação após falhas.</w:t>
      </w:r>
    </w:p>
    <w:p>
      <w:pPr>
        <w:pStyle w:val="ListNumber"/>
      </w:pPr>
      <w:r>
        <w:rPr>
          <w:b w:val="0"/>
        </w:rPr>
        <w:t>Definir as datas de calendário, a identificação da sala e a posição/altura final de instalação do nó.</w:t>
      </w:r>
    </w:p>
    <w:p>
      <w:pPr>
        <w:pStyle w:val="ListNumber"/>
      </w:pPr>
      <w:r>
        <w:rPr>
          <w:b w:val="0"/>
        </w:rPr>
        <w:t>Obter instrumento de referência adequado ou registrar formalmente quais variáveis terão somente validação funcional.</w:t>
      </w:r>
    </w:p>
    <w:p>
      <w:pPr>
        <w:pStyle w:val="ListNumber"/>
      </w:pPr>
      <w:r>
        <w:rPr>
          <w:b w:val="0"/>
        </w:rPr>
        <w:t>Executar T001 a T004 e T009 a T011 no nó físico: estabilidade das leituras, comparação parcial, transmissão, regularidade temporal, fila offline, reinicialização e sincronização.</w:t>
      </w:r>
    </w:p>
    <w:p>
      <w:pPr>
        <w:pStyle w:val="ListNumber"/>
      </w:pPr>
      <w:r>
        <w:rPr>
          <w:b w:val="0"/>
        </w:rPr>
        <w:t>Realizar a coleta principal, processar os dados brutos com o pipeline versionado e consolidar tabelas, gráficos, resultados e discussão.</w:t>
      </w:r>
    </w:p>
    <w:p>
      <w:pPr>
        <w:pStyle w:val="ListNumber"/>
      </w:pPr>
      <w:r>
        <w:rPr>
          <w:b w:val="0"/>
        </w:rPr>
        <w:t>Completar a revisão bibliográfica e normativa, concluir o texto final e aplicar o template/manual institucional da UNIP quando confirmado.</w:t>
      </w:r>
    </w:p>
    <w:p>
      <w:pPr>
        <w:pStyle w:val="Heading1"/>
      </w:pPr>
      <w:r>
        <w:rPr>
          <w:b w:val="0"/>
        </w:rPr>
        <w:t>8. Próximos marcos de apresentação da implementação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Data prevista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Entrega/demonstração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Situação atual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06/10/2026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Banco de dados: esquema, migrações, relações e execução local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Pronto para demonstração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13/10/2026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Estrutura do sistema: navegação, autenticação, salas, nós e persistência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Pronto para demonstração local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20/10/2026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Aquisição e ingestão das três variáveis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Implementado; evidência física inicial já disponível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27/10/2026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Dashboard, histórico, relatório/CSV, telemetria e configuração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Implementado; falta consolidar ensaio físico ponta a ponta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03/11/2026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Integração ESP32 → API → MySQL → interface, incluindo indisponibilidade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Parcial; ainda depende do teste físico de fila e recuperação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10/11 a 24/11/2026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Testes, refinamento, documentação e versão final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Dependente do piloto e da coleta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30/11/2026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Entrega final do TCC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sz w:val="18"/>
              </w:rPr>
              <w:t>Prevista</w:t>
            </w:r>
          </w:p>
        </w:tc>
      </w:tr>
    </w:tbl>
    <w:p/>
    <w:p>
      <w:pPr>
        <w:pStyle w:val="Heading1"/>
      </w:pPr>
      <w:r>
        <w:rPr>
          <w:b w:val="0"/>
        </w:rPr>
        <w:t>9. Solicitações objetivas de orientação</w:t>
      </w:r>
    </w:p>
    <w:p>
      <w:r>
        <w:rPr>
          <w:b w:val="0"/>
        </w:rPr>
        <w:t>Para reduzir riscos na etapa final, os autores solicitam orientação sobre:</w:t>
      </w:r>
    </w:p>
    <w:p>
      <w:pPr>
        <w:pStyle w:val="ListNumber"/>
      </w:pPr>
      <w:r>
        <w:rPr>
          <w:b w:val="0"/>
        </w:rPr>
        <w:t>a adequação do título, da pergunta e dos objetivos já definidos;</w:t>
      </w:r>
    </w:p>
    <w:p>
      <w:pPr>
        <w:pStyle w:val="ListNumber"/>
      </w:pPr>
      <w:r>
        <w:rPr>
          <w:b w:val="0"/>
        </w:rPr>
        <w:t>o manual/template institucional a ser utilizado na normalização e na entrega;</w:t>
      </w:r>
    </w:p>
    <w:p>
      <w:pPr>
        <w:pStyle w:val="ListNumber"/>
      </w:pPr>
      <w:r>
        <w:rPr>
          <w:b w:val="0"/>
        </w:rPr>
        <w:t>a confirmação dos marcos e critérios das entregas intermediárias;</w:t>
      </w:r>
    </w:p>
    <w:p>
      <w:pPr>
        <w:pStyle w:val="ListNumber"/>
      </w:pPr>
      <w:r>
        <w:rPr>
          <w:b w:val="0"/>
        </w:rPr>
        <w:t>a disponibilidade de instrumentos de referência, ou a aceitação formal da validação funcional quando eles não estiverem disponíveis;</w:t>
      </w:r>
    </w:p>
    <w:p>
      <w:pPr>
        <w:pStyle w:val="ListNumber"/>
      </w:pPr>
      <w:r>
        <w:rPr>
          <w:b w:val="0"/>
        </w:rPr>
        <w:t>os requisitos para documentar a instalação e a coleta na sala autorizada.</w:t>
      </w:r>
    </w:p>
    <w:p>
      <w:pPr>
        <w:pStyle w:val="Heading1"/>
      </w:pPr>
      <w:r>
        <w:rPr>
          <w:b w:val="0"/>
        </w:rPr>
        <w:t>10. Conclusão de acompanhamento</w:t>
      </w:r>
    </w:p>
    <w:p>
      <w:r>
        <w:rPr>
          <w:b w:val="0"/>
        </w:rPr>
        <w:t>O projeto possui uma base implementada e demonstrável: hardware inicializado, firmware em execução, transmissão física comprovada, banco e API funcionais e interface web completa para operação e consulta. A principal etapa restante não é mais a construção da solução, mas sua validação experimental controlada e a transformação dessas evidências em resultados acadêmicos rastreáveis.</w:t>
      </w:r>
    </w:p>
    <w:p>
      <w:r>
        <w:rPr>
          <w:b w:val="0"/>
        </w:rPr>
        <w:t>O risco central do cronograma está concentrado na realização imediata do piloto, na definição das condições de coleta e na obtenção — ou delimitação explícita da ausência — de instrumentos de referência. A antecipação dessas ações permitirá concluir os testes físicos, a coleta e a redação final sem antecipar conclusões além da evidência disponível.</w:t>
      </w:r>
    </w:p>
    <w:p>
      <w:pPr>
        <w:pStyle w:val="Heading2"/>
      </w:pPr>
      <w:r>
        <w:rPr>
          <w:b w:val="0"/>
        </w:rPr>
        <w:t>Documentos técnicos de apoio</w:t>
      </w:r>
    </w:p>
    <w:p>
      <w:pPr>
        <w:pStyle w:val="ListBullet"/>
      </w:pPr>
      <w:r>
        <w:rPr>
          <w:b w:val="0"/>
        </w:rPr>
        <w:t>projeto/contexto.md, projeto/decisoes.md e projeto/pendencias.md;</w:t>
      </w:r>
    </w:p>
    <w:p>
      <w:pPr>
        <w:pStyle w:val="ListBullet"/>
      </w:pPr>
      <w:r>
        <w:rPr>
          <w:b w:val="0"/>
        </w:rPr>
        <w:t>projeto/cronograma.md e cronograma/cronograma_pedido_professor.md;</w:t>
      </w:r>
    </w:p>
    <w:p>
      <w:pPr>
        <w:pStyle w:val="ListBullet"/>
      </w:pPr>
      <w:r>
        <w:rPr>
          <w:b w:val="0"/>
        </w:rPr>
        <w:t>experimento/protocolo.md e experimento/testes.md;</w:t>
      </w:r>
    </w:p>
    <w:p>
      <w:pPr>
        <w:pStyle w:val="ListBullet"/>
      </w:pPr>
      <w:r>
        <w:rPr>
          <w:b w:val="0"/>
        </w:rPr>
        <w:t>texto/01-introducao.md e texto/05-resultados.md;</w:t>
      </w:r>
    </w:p>
    <w:p>
      <w:pPr>
        <w:pStyle w:val="ListBullet"/>
      </w:pPr>
      <w:r>
        <w:rPr>
          <w:b w:val="0"/>
        </w:rPr>
        <w:t>software/README.md e a documentação de software/web/.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Relatório de acompanhamento — 06/10/2026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6"/>
      </w:rPr>
      <w:t>ACOMPANHAMENTO DO TCC — UNIP ARAÇATUBA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