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 Light" w:hAnsi="Calibri Light" w:eastAsia="Calibri Light"/>
          <w:b w:val="0"/>
          <w:color w:val="0B6E99"/>
          <w:sz w:val="44"/>
        </w:rPr>
        <w:t>FAQ-Wissensdatenbank Innovationsfonds</w:t>
        <w:br/>
      </w:r>
      <w:r>
        <w:rPr>
          <w:color w:val="4A4A4A"/>
          <w:sz w:val="22"/>
        </w:rPr>
        <w:t>60 Fragen mit Kernaussagen, Kurz-Zitaten und Quellenangaben</w:t>
      </w:r>
    </w:p>
    <w:p>
      <w:pPr/>
      <w:r>
        <w:rPr>
          <w:sz w:val="21"/>
        </w:rPr>
        <w:t>Grundlage sind die hochgeladenen PDF-Unterlagen sowie die zusätzlich bereitgestellten Prozess- und Auswertungsgrafiken. Die Einträge sind so formuliert, dass sie direkt als interne Wissensdatenbank oder FAQ-Grundlage weiterverwendet werden können. Bei den Grafikquellen handelt es sich um PNG-Dateien; dort wird deshalb eine Folienangabe statt einer PDF-Seite verwendet.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627"/>
      </w:tblGrid>
      <w:tr>
        <w:tc>
          <w:tcPr>
            <w:tcW w:type="dxa" w:w="14480"/>
            <w:shd w:fill="EAF4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2"/>
              </w:rPr>
              <w:t>Verwendete Hauptquellen</w:t>
              <w:br/>
            </w:r>
          </w:p>
          <w:p>
            <w:pPr>
              <w:spacing w:after="0"/>
            </w:pPr>
            <w:r>
              <w:rPr>
                <w:sz w:val="19"/>
              </w:rPr>
              <w:t>• 2026-01-23_Präsentation_Webseminar_NVF.pdf</w:t>
            </w:r>
          </w:p>
          <w:p>
            <w:pPr>
              <w:spacing w:after="0"/>
            </w:pPr>
            <w:r>
              <w:rPr>
                <w:sz w:val="19"/>
              </w:rPr>
              <w:t>• Der Innovationsfonds_ Stand der Dinge - 2026-01-06_Der-Innovationsfonds_Stand-der-Dinge.pdf</w:t>
            </w:r>
          </w:p>
          <w:p>
            <w:pPr>
              <w:spacing w:after="0"/>
            </w:pPr>
            <w:r>
              <w:rPr>
                <w:sz w:val="19"/>
              </w:rPr>
              <w:t>• Innovationen für die Versicherten der gesetzlichen _Krankenversicherung - 2025-06-23_G-BA_Innovationsausschuss_Infoflyer_bf.pdf</w:t>
            </w:r>
          </w:p>
          <w:p>
            <w:pPr>
              <w:spacing w:after="0"/>
            </w:pPr>
            <w:r>
              <w:rPr>
                <w:sz w:val="19"/>
              </w:rPr>
              <w:t>• Innovationsausschuss beim Gemeinsamen Bundesausschuss_ Zusammensetzung und Stimmverteilung - Innovationsausschuss_Zusammensetzung_Mai2025-barrierefrei.pdf</w:t>
            </w:r>
          </w:p>
          <w:p>
            <w:pPr>
              <w:spacing w:after="0"/>
            </w:pPr>
            <w:r>
              <w:rPr>
                <w:sz w:val="19"/>
              </w:rPr>
              <w:t>• 2025-12-03_IA-Prozessgrafiken_1-Themenfindung-Foerderbekanntmachungen.png</w:t>
            </w:r>
          </w:p>
          <w:p>
            <w:pPr>
              <w:spacing w:after="0"/>
            </w:pPr>
            <w:r>
              <w:rPr>
                <w:sz w:val="19"/>
              </w:rPr>
              <w:t>• 2025-12-03_IA-Prozessgrafiken_2-Antragstellung-bis-Foerderbescheid.png</w:t>
            </w:r>
          </w:p>
          <w:p>
            <w:pPr>
              <w:spacing w:after="0"/>
            </w:pPr>
            <w:r>
              <w:rPr>
                <w:sz w:val="19"/>
              </w:rPr>
              <w:t>• 2025-12-03_IA-Prozessgrafiken_3-Foerderbescheid-bis-Abschlussbericht.png</w:t>
            </w:r>
          </w:p>
          <w:p>
            <w:pPr>
              <w:spacing w:after="0"/>
            </w:pPr>
            <w:r>
              <w:rPr>
                <w:sz w:val="19"/>
              </w:rPr>
              <w:t>• 2025-12-03_IA-Prozessgrafiken_4-Abschlussbericht-bis-Transferempfehlung.png</w:t>
            </w:r>
          </w:p>
          <w:p>
            <w:pPr>
              <w:spacing w:after="0"/>
            </w:pPr>
            <w:r>
              <w:rPr>
                <w:sz w:val="19"/>
              </w:rPr>
              <w:t>• IA_Adressaten-Ueberfuehrung_2026-02-20.png</w:t>
            </w:r>
          </w:p>
          <w:p>
            <w:pPr>
              <w:spacing w:after="0"/>
            </w:pPr>
            <w:r>
              <w:rPr>
                <w:sz w:val="19"/>
              </w:rPr>
              <w:t>• NVF_Empfehlungen_2026-02-20.png</w:t>
            </w:r>
          </w:p>
          <w:p>
            <w:pPr>
              <w:spacing w:after="0"/>
            </w:pPr>
            <w:r>
              <w:rPr>
                <w:sz w:val="19"/>
              </w:rPr>
              <w:t>• VSF_Empfehlungen_2026-02-20.png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blHeader w:val="true"/>
        </w:trPr>
        <w:tc>
          <w:tcPr>
            <w:tcW w:type="dxa" w:w="510"/>
            <w:shd w:fill="0B6E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Nr.</w:t>
            </w:r>
          </w:p>
        </w:tc>
        <w:tc>
          <w:tcPr>
            <w:tcW w:type="dxa" w:w="3402"/>
            <w:shd w:fill="0B6E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Frage</w:t>
            </w:r>
          </w:p>
        </w:tc>
        <w:tc>
          <w:tcPr>
            <w:tcW w:type="dxa" w:w="5783"/>
            <w:shd w:fill="0B6E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Kernaussage / Inhalt</w:t>
            </w:r>
          </w:p>
        </w:tc>
        <w:tc>
          <w:tcPr>
            <w:tcW w:type="dxa" w:w="2438"/>
            <w:shd w:fill="0B6E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Konkretes Zitat</w:t>
            </w:r>
          </w:p>
        </w:tc>
        <w:tc>
          <w:tcPr>
            <w:tcW w:type="dxa" w:w="1191"/>
            <w:shd w:fill="0B6E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Seite / Folie</w:t>
            </w:r>
          </w:p>
        </w:tc>
        <w:tc>
          <w:tcPr>
            <w:tcW w:type="dxa" w:w="3685"/>
            <w:shd w:fill="0B6E9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PDF- oder Dateiname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Worum ging es im Webseminar vom 10. Februar 2026?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Das Seminar erläutert die Förderung von Neuen Versorgungsformen nach § 92a Abs. 1 Satz 8 SGB V für das Jahr 2026.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„Förderung von Neuen Versorgungsformen“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2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drei NVF-Verfahrensalternativen wurden im Seminar genannt?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Genannt werden einstufig lang, einstufig kurz und zweistufig lang.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„Erste Alternative (einstufig lang)“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2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Wie verteilt sich das reguläre Jahresbudget des Innovationsfonds laut Seminarfolie?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Regulär werden 200 Mio. Euro pro Jahr verteilt auf 160 Mio. Euro für NVF und 40 Mio. Euro für VSF, davon mindestens 5 Mio. Euro für Leitlinien.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„200 Mio. Euro jährlich“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3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Sonderregel galt für die Fördersumme 2026?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Für 2026 wurde die verfügbare Fördersumme einmalig auf 100 Mio. Euro abgesenkt.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„einmalig 100. Mio. Euro“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4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Wie verteilen sich die Fördermittel 2026 laut Webseminar?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 entfallen 80 Mio. Euro auf NVF, davon 10 Mio. Euro auf kurze Laufzeiten, und 20 Mio. Euro auf VSF, davon mindestens 2,5 Mio. Euro für Leitlinien.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„Neue Versorgungsformen: 80 Mio. Euro“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4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6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Förderbekanntmachungen wurden am 23. Januar 2026 aufgeführt?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Die Folie zeigt für NVF: themenoffen einstufig lang, themenoffen einstufig kurz, themenoffen zweistufig lang und themenspezifisch zweistufig lang; für VSF: themenspezifische und themenoffene Forschungsprojekte sowie Leitlinienentwicklung.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„Förderbekanntmachungen vom 23. Januar 2026“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5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7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Was ist der Kernunterschied zwischen einstufigen und zweistufigen NVF-Verfahren?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Unterschied liegt im Reifegrad der Projektidee. Einstufig setzt eine weitgehend ausformulierte Idee voraus, zweistufig eine vorbereitungsbedürftige Idee.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„Unterschied: Reifegrad der Projektidee!“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6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8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Wann ist ein einstufiges Verfahren angezeigt?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Wenn Evaluationskonzept, Arbeits- und Zeitplan, Finanzierungsplan und Konsortium bereits detailliert vorliegen.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„Projektidee bereits detailliert ausgearbeitet“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6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9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Wann ist ein zweistufiges Verfahren angezeigt?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Wenn eine Projektidee noch umfangreiche Vorbereitung benötigt und zunächst eine Konzeptentwicklungsphase gefördert werden soll.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„Projektidee benötigt umfangreiche Vorbereitung“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6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10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Wofür ist das einstufig kurze Verfahren gedacht?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Für Vorhaben, die binnen zwei Jahren gesundheitsbezogene Verbesserungen oder patientenrelevante Struktur- bzw. Verfahrensverbesserungen nachweisen oder komplexe Ansätze pilotieren.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„innerhalb von zwei Jahren“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6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11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Laufzeit und Frist gelten für das einstufig lange NVF-Verfahren 2026?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Die Laufzeit beträgt in der Regel 36, maximal 48 Monate; Einreichungsfrist ist der 19. Mai 2026.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„Frist zur Antragseinreichung: 19. Mai 2026“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7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12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Laufzeit und Frist gelten für das zweistufig lange NVF-Verfahren 2026?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Die Laufzeit beträgt in der Regel 36, maximal 48 Monate; hinzu kommt eine obligatorische sechsmonatige Konzeptentwicklungsphase; Einreichungsfrist ist der 21. April 2026.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„obligatorische Konzeptentwicklungsphase (6 Monate)“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7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13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Wie funktioniert die Einreichung im einstufig kurzen Verfahren 2026?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Einreichungen erfolgen fortlaufend im Jahr 2026 per E-Mail; die Laufzeit ist auf maximal 24 Monate begrenzt.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„keine, fortlaufend in 2026 per E-Mail“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7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14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Was ist das übergeordnete Ziel der NVF-Förderung?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Ziel ist die Weiterentwicklung der Versorgung in der gesetzlichen Krankenversicherung.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„Weiterentwicklung der Versorgung“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9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15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Wie werden neue Versorgungsformen in der Verfahrensordnung beschrieben?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Sie sind Versorgungsformen, die über die bisherige Regelversorgung hinausgehen; dazu zählen insbesondere sektorenübergreifende Modelle.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„über die bisherige Regelversorgung hinausgehen“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9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16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Wofür sollten die Evaluationsergebnisse neuer Versorgungsformen geeignet sein?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Sie sollen für Richtlinien des G-BA nutzbar sein oder dem Gesetzgeber als Grundlage für strukturelle Änderungen dienen.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„dem Gesetzgeber als Grundlage“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9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17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Ausrichtung der Förderung wird besonders betont?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Gefördert werden insbesondere Vorhaben zur sektorenübergreifenden Versorgung, zur Optimierung intersektoraler Schnittstellen und zur Weiterentwicklung selektivvertraglicher Versorgung.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„Überwindung der Trennung der Sektoren“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10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18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zwei zusätzlichen Qualitätsanforderungen nennt die Folie zur Ausrichtung?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Ein tragfähiges Evaluationskonzept und ein hinreichendes Umsetzungspotenzial für die dauerhafte Aufnahme in die Versorgung.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„tragfähiges Evaluationskonzept“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10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19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übergeordneten Aspekte können themenübergreifend vorgesehen werden?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Besondere Projektstrukturen und -elemente wie Digitalisierung und Patient-Empowerment-Strukturen.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„Elemente der Digitalisierung“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11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20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Unter welcher Bedingung sind Kooperationen außerhalb der GKV möglich?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Nur wenn sich diese Akteure entsprechend ihrer Zuständigkeit finanziell beteiligen; Form und Umfang der Beteiligung sind nachzuweisen.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„finanziellen Umfang der Beteiligung“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11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21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Was ist das themenspezifische Themenfeld im zweistufig langen Verfahren 2026?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Das Themenfeld lautet Erhöhung der Bedarfsgerechtigkeit und Effizienz der gesundheitlichen Versorgung.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„Erhöhung der Bedarfsgerechtigkeit“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12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22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Was gilt für die themenoffene Förderbekanntmachung?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Es ist keine Themensetzung vorgegeben, aber die Relevanz für die GKV-Versorgung muss begründet werden.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„keine Themensetzung vorgegeben“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12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23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Ist eine Doppeleinreichung desselben Themas zulässig?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Nein. Dasselbe Thema darf nicht parallel themenspezifisch und themenoffen oder in mehreren NVF-Verfahren 2026 eingereicht werden.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„keine Doppeleinreichung möglich“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12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24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grundlegenden Fördervoraussetzungen nennt die Seminarfolie?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Die neue Versorgungsform muss auf geltendem Recht beruhen, Datenschutz sowie ethische und wissenschaftliche Standards einhalten und interoperabel sein.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„Einhaltung ethischer und wissenschaftlicher Standards“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13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25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Interoperabilitätsanforderungen werden ausdrücklich genannt?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Zu beachten sind die Regelungen der §§ 385 ff. SGB V, relevante Festlegungen nach § 327 SGB V, Anforderungen nach §§ 371 ff. SGB V, TI-Kompatibilität und offene Schnittstellen.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„Kompatibilität mit der Telematikinfrastruktur“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13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26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Was bedeutet Zugänglichkeit der Ergebnisse im Förderkontext?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Es wird eine umfassende Transparenz in der Berichterstattung verlangt, einschließlich ergebnisunabhängiger Veröffentlichung der Evaluationsergebnisse.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„ergebnisunabhängige Publikation der Evaluationsergebnisse“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13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27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Rechtsgrundlage wird für Projekte mit Krankenkassenbeteiligung in der Regel favorisiert?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In der Regel ein Selektivvertrag nach § 140a SGB V oder ein Modellvorhaben nach §§ 63 ff. SGB V.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„Selektivvertrag nach § 140a SGB V“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14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28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Warum wird § 140a SGB V besonders favorisiert?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Weil diese Rechtsgrundlage insbesondere im Hinblick auf den Transfer im Bereich neuer Versorgungsformen bevorzugt werden soll.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„im Hinblick auf den Transfer“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14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29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zusätzliche Möglichkeit besteht bei Versorgung von Versicherten aller Krankenkassen?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Neben beteiligten Kassen können für andere Versicherte Behandlungsverträge nach § 630a BGB abgeschlossen werden, wenn Teilnahme- und Einwilligungsregelungen den Vorgaben von § 140a Abs. 4 und 5 SGB V sowie der DSGVO folgen.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„Behandlungsvertrag nach § 630a BGB“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15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30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Option gibt es für Projekte ohne Krankenkassenbeteiligung oder mit Kassen als Kooperationspartner?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Auch hier kann im Verhältnis Behandelnder-Patient ein Behandlungsvertrag nach § 630a BGB gewählt werden.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„Projekte ohne Krankenkassenbeteiligung“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15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31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Projekte sind wegen Produkt- oder Industrienähe ausgeschlossen?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Nicht gefördert werden Produktinnovationen und Projekte mit unmittelbarem wirtschaftlichen Interesse gewerblicher Unternehmen.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„unmittelbares wirtschaftliches Interesse“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16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32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studienbezogenen Projektarten sind ausgeschlossen?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Ausgeschlossen sind klinische Prüfungen für Medizinprodukte, klinische Studien zum Wirksamkeits- und Nutzennachweis sowie AMNOG-Studien.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„Klinische Prüfungen für Medizinprodukte“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16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33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weiteren Ausschlüsse nennt die zweite Ausschlussfolie?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Ausgeschlossen sind § 137e-Erprobungsstudien, DiGA-/DiPA-Nachweise, bereits laufende Umsetzungsprojekte, bereits öffentlich geförderte Projekte und Mehrfachbewerbungen 2026.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„bereits in der Umsetzungsphase“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17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34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Nach welchen Kriterien werden NVF-Anträge bewertet?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Die Folie nennt Relevanz, Verbesserung der Versorgung, Umsetzungspotenzial, Übertragbarkeit, Evaluierbarkeit, Machbarkeit, Verhältnismäßigkeit von Kosten und Nutzen sowie Patientenbeteiligung.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„Patientenbeteiligung (4.8)“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18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35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Was muss ein Antrag erfüllen, damit er in die Auswahl kommt?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Er muss die formalen Anforderungen, den Gegenstand der Förderung und die Fördervoraussetzungen erfüllen.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„formalen Anforderungen“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19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36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Wer bewertet die Anträge und wer entscheidet über die Förderung?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Expertenpool und Innovationsausschuss bewerten; der Innovationsausschuss entscheidet unter Berücksichtigung der Expertenpool-Empfehlungen.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„unter Berücksichtigung der Empfehlungen“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19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37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Wer ist antragsberechtigt?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Antragsberechtigt sind alle rechtsfähigen und unbeschränkt geschäftsfähigen Personen und Personengesellschaften.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„rechtsfähigen und unbeschränkt geschäftsfähigen“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21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38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Was gilt, wenn keine Krankenkasse am Antrag beteiligt ist?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Das ist zu begründen; insbesondere muss erklärt werden, wie GKV-Bezug und Evaluation trotzdem sichergestellt werden.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„Wird keine Krankenkasse beteiligt“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21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39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Was ist nach § 92a Abs. 1 Satz 5 SGB V förderfähig?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Förderfähig sind nur Aufwendungen, die dem Grunde nach nicht von den Vergütungssystemen der Regelversorgung umfasst sind, etwa zusätzliche Versorgungsleistungen, Projektmanagement, Evaluation, Investitionen und projektbegleitende Entwicklungen.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„nicht von den Vergütungssystemen“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24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40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Grenze gilt für die Infrastrukturpauschale?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Sie darf bis zu 25 % der beantragten Personalausgaben betragen.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„bis zu 25 %“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24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2026-01-23_Präsentation_Webseminar_NVF.pdf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41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Wie wird der Innovationsfonds in der Übersicht Januar 2026 charakterisiert?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Er wird als dauerhaftes Förderinstrument mit regulär 200 Mio. Euro jährlich beschrieben, vorbehaltlich der Sonderregel 2026.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„dauerhaft mit 200 Mio. €“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2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Innovationsfonds_ Stand der Dinge - 2026-01-06_Der-Innovationsfonds_Stand-der-Dinge.pdf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42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Auswirkungen der Mittelreduzierung 2026 werden genannt?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Laufende Projekte seien nicht betroffen, Förderentscheidungen 2026 weiterhin möglich und die Funktionsfähigkeit bleibe gewahrt.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„Funktionsfähigkeit des Innovationsfonds bleibt gewahrt“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3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Innovationsfonds_ Stand der Dinge - 2026-01-06_Der-Innovationsfonds_Stand-der-Dinge.pdf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43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Größenordnung und Wirkung des Fonds werden hervorgehoben?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Seit 2016 wurden 60 Förderbekanntmachungen veröffentlicht; insgesamt 791 Projekte wurden gefördert, davon 329 noch in Umsetzung. Als Wirkungen nennt die Präsentation unter anderem Telemedizin, Prävention, Leitlinien und sektorenübergreifende Kooperation.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„791 geförderte Projekte“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5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Innovationsfonds_ Stand der Dinge - 2026-01-06_Der-Innovationsfonds_Stand-der-Dinge.pdf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44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Seit wann nutzt der Innovationsausschuss ein vorgeschaltetes Konsultationsverfahren?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Seit 2020 werden Förderschwerpunkte themenspezifischer NVF- und VSF-Bekanntmachungen nach einem Konsultationsverfahren festgelegt.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„Seit 2020“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6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Innovationsfonds_ Stand der Dinge - 2026-01-06_Der-Innovationsfonds_Stand-der-Dinge.pdf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45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Förderverfahren für NVF und VSF werden in der Überblicksfolie 2026 genannt?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Für NVF: zweistufig lang themenspezifisch/themenoffen, einstufig lang themenoffen, einstufig kurz themenoffen. Für VSF: Forschungsprojekte einstufig lang themenspezifisch/themenoffen und medizinische Leitlinien themenspezifisch.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„Förderbekanntmachungen 2026“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7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Innovationsfonds_ Stand der Dinge - 2026-01-06_Der-Innovationsfonds_Stand-der-Dinge.pdf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46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Veröffentlichungstermine 2026 nennt die Übersicht?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Voraussichtlich 23. Januar 2026 für NVF und 19. Juni 2026 für VSF.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„voraussichtlich am 23. Januar 2026“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8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Innovationsfonds_ Stand der Dinge - 2026-01-06_Der-Innovationsfonds_Stand-der-Dinge.pdf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47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Änderung brachte das Digital-Gesetz für NVF mit langer Laufzeit?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Es wurde ein neues einstufiges Verfahren eingeführt, das sich an Antragstellende mit bereits weit entwickelten Vorhaben richtet.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„neues einstufiges Förderverfahren“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11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Innovationsfonds_ Stand der Dinge - 2026-01-06_Der-Innovationsfonds_Stand-der-Dinge.pdf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48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Logik verfolgt das kurze NVF-Verfahren laut Digital-Gesetz?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Es adressiert Vorhaben, die innerhalb von zwei Jahren valide und verwertbare Erkenntnisse generieren können, ist themenoffen und kann im Haushaltsjahr jederzeit eingereicht werden.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„innerhalb von 2 Jahren“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12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Innovationsfonds_ Stand der Dinge - 2026-01-06_Der-Innovationsfonds_Stand-der-Dinge.pdf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49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weiteren Neuerungen seit 2024 werden hervorgehoben?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Genannt werden der Wegfall der 20-%-Grenze für themenoffene NVF-Förderung, Patientenbeteiligung als neues Förderkriterium und mehr Transparenz bei der Überführung.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„Patientenbeteiligung“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13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Innovationsfonds_ Stand der Dinge - 2026-01-06_Der-Innovationsfonds_Stand-der-Dinge.pdf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50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Was ist der Förderzweck neuer Versorgungsformen laut Überblickspräsentation?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Neue Versorgungsformen müssen über die Regelversorgung hinausgehen, sektorenübergreifende Versorgung verbessern, dauerhaftes Aufnahmepotenzial haben und evaluiert werden.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„müssen über die bisherige Regelversorgung“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15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Innovationsfonds_ Stand der Dinge - 2026-01-06_Der-Innovationsfonds_Stand-der-Dinge.pdf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51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Wie beschreibt der Infoflyer die institutionelle Einordnung des Innovationsausschusses?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Der Innovationsausschuss ist ein beim G-BA eingerichtetes Gremium des Gesetzgebers, das seit 2016 Projekte mit innovativen Ansätzen für die GKV fördert.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„Seit dem Jahr 2016“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2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Innovationen für die Versicherten der gesetzlichen _Krankenversicherung - 2025-06-23_G-BA_Innovationsausschuss_Infoflyer_bf.pdf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52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Wer ist im Innovationsausschuss vertreten?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Vertreten sind GKV-Spitzenverband, KBV, KZBV, DKG, BMG und Bundesministerium für Forschung, Technologie und Raumfahrt; Patient:innenvertretungen haben Mitberatungs- und Antragsrecht.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„Mitberatungs- und Antragsrecht“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2 des Flyers / S. 1 der Stimmverteilungs-PDF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Innovationen für die Versicherten der gesetzlichen _Krankenversicherung - 2025-06-23_G-BA_Innovationsausschuss_Infoflyer_bf.pdf / Innovationsausschuss beim Gemeinsamen Bundesausschuss_ Zusammensetzung und Stimmverteilung - Innovationsausschuss_Zusammensetzung_Mai2025-barrierefrei.pdf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53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zwei Hauptförderbereiche stellt der Infoflyer heraus?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Gefördert werden Neue Versorgungsformen und Versorgungsforschung einschließlich Leitlinienentwicklung und Evaluation von G-BA-Richtlinien.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„Neue Versorgungsformen“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3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Innovationen für die Versicherten der gesetzlichen _Krankenversicherung - 2025-06-23_G-BA_Innovationsausschuss_Infoflyer_bf.pdf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54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Wie werden Ergebnisse laut Infoflyer genutzt?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Drei Monate nach vollständigem Abschlussbericht beschließt der Innovationsausschuss Transferempfehlungen; Berichte, Beschlüsse und Rückmeldungen werden veröffentlicht.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„Drei Monate nach Vorliegen“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S. 5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Innovationen für die Versicherten der gesetzlichen _Krankenversicherung - 2025-06-23_G-BA_Innovationsausschuss_Infoflyer_bf.pdf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55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Wie beginnt der Prozess der Themenfindung für Förderbekanntmachungen?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Er startet mit der Bekanntmachung des Konsultationsverfahrens und der Einreichung externer Vorschläge zu Förderthemen und -kriterien; dafür sind zwei Monate vorgesehen.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„Einreichung von Vorschlägen“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Folie 1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2025-12-03_IA-Prozessgrafiken_1-Themenfindung-Foerderbekanntmachungen.png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56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Dauer ist in der Prozessgrafik für die Auswertung der Themenvorschläge vorgesehen?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Die Auswertung und Abstimmung der Themenvorschläge durch den Arbeitsausschuss dauert etwa sechs Monate.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„ca. 6 Monate“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Folie 2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2025-12-03_IA-Prozessgrafiken_1-Themenfindung-Foerderbekanntmachungen.png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57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Schritte zeigt die Grafik 'Von der Antragstellung bis zum Förderbescheid'?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Sie zeigt Veröffentlichung der Förderbekanntmachung, Antragstellung, Bewertung der Anträge, Förderentscheidung, Benachrichtigung und Annahme der Förderung.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„von der Antragstellung bis zum Förderbescheid“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Folie 1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2025-12-03_IA-Prozessgrafiken_2-Antragstellung-bis-Foerderbescheid.png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58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Berichtspflichten zeigt die Grafik 'Vom Förderbescheid bis zur Vorlage des Abschlussberichts'?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Während der Projektlaufzeit gibt es quartalsweise Statusberichte und Zahlungsanforderungen sowie jährliche Zwischenberichte und Zwischennachweise.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„quartalsweise“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Folie 3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2025-12-03_IA-Prozessgrafiken_3-Foerderbescheid-bis-Abschlussbericht.png</w:t>
            </w:r>
          </w:p>
        </w:tc>
      </w:tr>
      <w:tr>
        <w:tc>
          <w:tcPr>
            <w:tcW w:type="dxa" w:w="510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59</w:t>
            </w:r>
          </w:p>
        </w:tc>
        <w:tc>
          <w:tcPr>
            <w:tcW w:type="dxa" w:w="3402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zusätzlichen Unterlagen können am Projektende erforderlich sein?</w:t>
            </w:r>
          </w:p>
        </w:tc>
        <w:tc>
          <w:tcPr>
            <w:tcW w:type="dxa" w:w="5783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Je nach Förderbereich kommen zusätzlich Evaluationsberichte bei NVF oder Leitliniendokumente bei medizinischen Leitlinien hinzu.</w:t>
            </w:r>
          </w:p>
        </w:tc>
        <w:tc>
          <w:tcPr>
            <w:tcW w:type="dxa" w:w="2438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„zusätzlich: Evaluationsbericht“</w:t>
            </w:r>
          </w:p>
        </w:tc>
        <w:tc>
          <w:tcPr>
            <w:tcW w:type="dxa" w:w="1191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Folie 3</w:t>
            </w:r>
          </w:p>
        </w:tc>
        <w:tc>
          <w:tcPr>
            <w:tcW w:type="dxa" w:w="3685"/>
            <w:shd w:fill="F8FBFC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2025-12-03_IA-Prozessgrafiken_3-Foerderbescheid-bis-Abschlussbericht.png</w:t>
            </w:r>
          </w:p>
        </w:tc>
      </w:tr>
      <w:tr>
        <w:tc>
          <w:tcPr>
            <w:tcW w:type="dxa" w:w="510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0B6E99"/>
                <w:sz w:val="18"/>
              </w:rPr>
              <w:t>60</w:t>
            </w:r>
          </w:p>
        </w:tc>
        <w:tc>
          <w:tcPr>
            <w:tcW w:type="dxa" w:w="3402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Welche Frist gilt laut Transferprozessgrafik für die Überarbeitung eines mangelhaften Abschlussberichts?</w:t>
            </w:r>
          </w:p>
        </w:tc>
        <w:tc>
          <w:tcPr>
            <w:tcW w:type="dxa" w:w="5783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Bei Nachforderungen wegen Unvollständigkeit oder Mängeln ist eine Überarbeitung innerhalb von vier Wochen vorgesehen.</w:t>
            </w:r>
          </w:p>
        </w:tc>
        <w:tc>
          <w:tcPr>
            <w:tcW w:type="dxa" w:w="2438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i/>
                <w:sz w:val="18"/>
              </w:rPr>
              <w:t>„Frist: 4 Wochen“</w:t>
            </w:r>
          </w:p>
        </w:tc>
        <w:tc>
          <w:tcPr>
            <w:tcW w:type="dxa" w:w="1191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sz w:val="18"/>
              </w:rPr>
              <w:t>Folie 4</w:t>
            </w:r>
          </w:p>
        </w:tc>
        <w:tc>
          <w:tcPr>
            <w:tcW w:type="dxa" w:w="3685"/>
            <w:shd w:fill="EEF5F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</w:rPr>
              <w:t>2025-12-03_IA-Prozessgrafiken_4-Abschlussbericht-bis-Transferempfehlung.png</w:t>
            </w:r>
          </w:p>
        </w:tc>
      </w:tr>
    </w:tbl>
    <w:sectPr w:rsidR="00FC693F" w:rsidRPr="0006063C" w:rsidSect="00034616">
      <w:footerReference w:type="default" r:id="rId9"/>
      <w:pgSz w:w="15840" w:h="12240" w:orient="landscape"/>
      <w:pgMar w:top="737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6"/>
      </w:rPr>
      <w:t>FAQ-Wissensdatenbank Innovationsfonds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