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Хосе Фернандо Леон Атупанья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набор математических формул в LaTeX с использованием математического режима, изучить разницу между встроенным и выносным математическим режимом, познакомиться с пакетами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bm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mathtools</w:t>
      </w:r>
      <w:r>
        <w:t xml:space="preserve">, научиться форматировать математические выражения, включая индексы, интегралы, матрицы, выравнивание уравнений и изменение шрифтов в математическом режиме.</w:t>
      </w:r>
    </w:p>
    <w:bookmarkEnd w:id="9"/>
    <w:bookmarkStart w:id="5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4" w:name="Xe36138856258db97e2f28b0681a886d42e3746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Встроенный и выносный математический режим</w:t>
      </w:r>
    </w:p>
    <w:p>
      <w:pPr>
        <w:pStyle w:val="FirstParagraph"/>
      </w:pPr>
      <w:r>
        <w:t xml:space="preserve">Были изучены два способа записи математических выражений в LaTeX. Встроенный режим позволяет размещать формулы непосредственно в тексте, например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. Выносный режим центрирует формулу на отдельной строке и не нарушает межстрочный интервал. Оба режима используют одинаковые команды.</w:t>
      </w:r>
    </w:p>
    <w:p>
      <w:pPr>
        <w:pStyle w:val="BodyText"/>
      </w:pPr>
      <w:r>
        <w:t xml:space="preserve">Исходный код документа с примерами встроенного и выносного режимов показан на скриншоте:</w:t>
      </w:r>
    </w:p>
    <w:bookmarkStart w:id="13" w:name="fig:001"/>
    <w:p>
      <w:pPr>
        <w:pStyle w:val="CaptionedFigure"/>
      </w:pPr>
      <w:r>
        <w:drawing>
          <wp:inline>
            <wp:extent cx="3733800" cy="1910466"/>
            <wp:effectExtent b="0" l="0" r="0" t="0"/>
            <wp:docPr descr="Встроенный и выносный математический режим" title="fig: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Встроенный и выносный математический режим</w:t>
      </w:r>
    </w:p>
    <w:bookmarkEnd w:id="13"/>
    <w:bookmarkEnd w:id="14"/>
    <w:bookmarkStart w:id="19" w:name="Xe9b854cc0ddf14988f7b7b3597424980fe259b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Индексы, греческие буквы и специальные команды</w:t>
      </w:r>
    </w:p>
    <w:p>
      <w:pPr>
        <w:pStyle w:val="FirstParagraph"/>
      </w:pPr>
      <w:r>
        <w:t xml:space="preserve">Были изучены верхние и нижние индексы:</w:t>
      </w:r>
      <w:r>
        <w:t xml:space="preserve"> </w:t>
      </w:r>
      <w:r>
        <w:rPr>
          <w:rStyle w:val="VerbatimChar"/>
        </w:rPr>
        <w:t xml:space="preserve">a^{b}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a_{b}</w:t>
      </w:r>
      <w:r>
        <w:t xml:space="preserve">. Также рассмотрено использование греческих букв и тригонометрических функций, например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. Использование фигурных скобок для группировки является обязательным при записи многосимвольных индексов.</w:t>
      </w:r>
    </w:p>
    <w:p>
      <w:pPr>
        <w:pStyle w:val="BodyText"/>
      </w:pPr>
      <w:r>
        <w:t xml:space="preserve">Результат компиляции документа с индексами и греческими буквами приведён на скриншоте:</w:t>
      </w:r>
    </w:p>
    <w:bookmarkStart w:id="18" w:name="fig:002"/>
    <w:p>
      <w:pPr>
        <w:pStyle w:val="CaptionedFigure"/>
      </w:pPr>
      <w:r>
        <w:drawing>
          <wp:inline>
            <wp:extent cx="3733800" cy="1276303"/>
            <wp:effectExtent b="0" l="0" r="0" t="0"/>
            <wp:docPr descr="Индексы, греческие буквы и специальные команды" title="fig: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Индексы, греческие буквы и специальные команды</w:t>
      </w:r>
    </w:p>
    <w:bookmarkEnd w:id="18"/>
    <w:bookmarkEnd w:id="19"/>
    <w:bookmarkStart w:id="28" w:name="интегралы-и-пользовательские-команд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Интегралы и пользовательские команды</w:t>
      </w:r>
    </w:p>
    <w:p>
      <w:pPr>
        <w:pStyle w:val="FirstParagraph"/>
      </w:pPr>
      <w:r>
        <w:t xml:space="preserve">Был рассмотрен способ записи интеграла с пределами. Дополнительно была создана пользовательская команда</w:t>
      </w:r>
      <w:r>
        <w:t xml:space="preserve"> </w:t>
      </w:r>
      <w:r>
        <w:rPr>
          <w:rStyle w:val="VerbatimChar"/>
        </w:rPr>
        <w:t xml:space="preserve">\diff</w:t>
      </w:r>
      <w:r>
        <w:t xml:space="preserve"> </w:t>
      </w:r>
      <w:r>
        <w:t xml:space="preserve">для корректного форматирования дифференциала, что позволяет унифицировать оформление интегральных выражений по всему документу.</w:t>
      </w:r>
    </w:p>
    <w:p>
      <w:pPr>
        <w:pStyle w:val="BodyText"/>
      </w:pPr>
      <w:r>
        <w:t xml:space="preserve">Исходный код документа с интегралами и пользовательской командой показан на скриншоте:</w:t>
      </w:r>
    </w:p>
    <w:bookmarkStart w:id="23" w:name="fig:003"/>
    <w:p>
      <w:pPr>
        <w:pStyle w:val="CaptionedFigure"/>
      </w:pPr>
      <w:r>
        <w:drawing>
          <wp:inline>
            <wp:extent cx="3733800" cy="1323705"/>
            <wp:effectExtent b="0" l="0" r="0" t="0"/>
            <wp:docPr descr="Исходный код с интегралами и командой " title="fig:" id="21" name="Picture"/>
            <a:graphic>
              <a:graphicData uri="http://schemas.openxmlformats.org/drawingml/2006/picture">
                <pic:pic>
                  <pic:nvPicPr>
                    <pic:cNvPr descr="image/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с интегралами и командой</w:t>
      </w:r>
      <w:r>
        <w:t xml:space="preserve"> </w:t>
      </w:r>
    </w:p>
    <w:bookmarkEnd w:id="23"/>
    <w:p>
      <w:pPr>
        <w:pStyle w:val="BodyText"/>
      </w:pPr>
      <w:r>
        <w:t xml:space="preserve">Результат компиляции демонстрирует корректное отображение интегралов с пределами:</w:t>
      </w:r>
    </w:p>
    <w:bookmarkStart w:id="27" w:name="fig:004"/>
    <w:p>
      <w:pPr>
        <w:pStyle w:val="CaptionedFigure"/>
      </w:pPr>
      <w:r>
        <w:drawing>
          <wp:inline>
            <wp:extent cx="3733800" cy="3149215"/>
            <wp:effectExtent b="0" l="0" r="0" t="0"/>
            <wp:docPr descr="Результат PDF с интегральными выражениями" title="fig:" id="25" name="Picture"/>
            <a:graphic>
              <a:graphicData uri="http://schemas.openxmlformats.org/drawingml/2006/picture">
                <pic:pic>
                  <pic:nvPicPr>
                    <pic:cNvPr descr="image/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PDF с интегральными выражениями</w:t>
      </w:r>
    </w:p>
    <w:bookmarkEnd w:id="27"/>
    <w:bookmarkEnd w:id="28"/>
    <w:bookmarkStart w:id="37" w:name="Xe4ecf945cfbb195dd7cc327a0e1a1ee511be94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Нумерованные уравнения и выравнивание с</w:t>
      </w:r>
      <w:r>
        <w:t xml:space="preserve"> </w:t>
      </w:r>
      <w:r>
        <w:rPr>
          <w:rStyle w:val="VerbatimChar"/>
        </w:rPr>
        <w:t xml:space="preserve">amsmath</w:t>
      </w:r>
    </w:p>
    <w:p>
      <w:pPr>
        <w:pStyle w:val="FirstParagraph"/>
      </w:pPr>
      <w:r>
        <w:t xml:space="preserve">Для автоматической нумерации уравнений использовалось окружение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. Пакет</w:t>
      </w:r>
      <w:r>
        <w:t xml:space="preserve"> </w:t>
      </w:r>
      <w:r>
        <w:rPr>
          <w:b/>
          <w:bCs/>
        </w:rPr>
        <w:t xml:space="preserve">amsmath</w:t>
      </w:r>
      <w:r>
        <w:t xml:space="preserve"> </w:t>
      </w:r>
      <w:r>
        <w:t xml:space="preserve">предоставляет окружение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, которое позволяет выравнивать несколько уравнений по знаку равенства, что особенно удобно при записи систем уравнений и рекуррентных соотношений.</w:t>
      </w:r>
    </w:p>
    <w:p>
      <w:pPr>
        <w:pStyle w:val="BodyText"/>
      </w:pPr>
      <w:r>
        <w:t xml:space="preserve">Исходный код с нумерованными уравнениями и окружением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приведён на скриншоте:</w:t>
      </w:r>
    </w:p>
    <w:bookmarkStart w:id="32" w:name="fig:005"/>
    <w:p>
      <w:pPr>
        <w:pStyle w:val="CaptionedFigure"/>
      </w:pPr>
      <w:r>
        <w:drawing>
          <wp:inline>
            <wp:extent cx="3733800" cy="2372558"/>
            <wp:effectExtent b="0" l="0" r="0" t="0"/>
            <wp:docPr descr="Нумерованные уравнения и выравнивание align*" title="fig:" id="30" name="Picture"/>
            <a:graphic>
              <a:graphicData uri="http://schemas.openxmlformats.org/drawingml/2006/picture">
                <pic:pic>
                  <pic:nvPicPr>
                    <pic:cNvPr descr="image/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Нумерованные уравнения и выравнивание align*</w:t>
      </w:r>
    </w:p>
    <w:bookmarkEnd w:id="32"/>
    <w:p>
      <w:pPr>
        <w:pStyle w:val="BodyText"/>
      </w:pPr>
      <w:r>
        <w:t xml:space="preserve">Итоговый PDF-документ демонстрирует корректную автоматическую нумерацию и выравнивание уравнений:</w:t>
      </w:r>
    </w:p>
    <w:bookmarkStart w:id="36" w:name="fig:006"/>
    <w:p>
      <w:pPr>
        <w:pStyle w:val="CaptionedFigure"/>
      </w:pPr>
      <w:r>
        <w:drawing>
          <wp:inline>
            <wp:extent cx="3733800" cy="1594807"/>
            <wp:effectExtent b="0" l="0" r="0" t="0"/>
            <wp:docPr descr="Результат PDF с нумерованными и выровненными уравнениями" title="fig:" id="34" name="Picture"/>
            <a:graphic>
              <a:graphicData uri="http://schemas.openxmlformats.org/drawingml/2006/picture">
                <pic:pic>
                  <pic:nvPicPr>
                    <pic:cNvPr descr="image/0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PDF с нумерованными и выровненными уравнениями</w:t>
      </w:r>
    </w:p>
    <w:bookmarkEnd w:id="36"/>
    <w:bookmarkEnd w:id="37"/>
    <w:bookmarkStart w:id="42" w:name="шрифты-в-математическом-режиме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Шрифты в математическом режиме</w:t>
      </w:r>
    </w:p>
    <w:p>
      <w:pPr>
        <w:pStyle w:val="FirstParagraph"/>
      </w:pPr>
      <w:r>
        <w:t xml:space="preserve">Были изучены команды для изменения шрифтов внутри математических выражений:</w:t>
      </w:r>
      <w:r>
        <w:t xml:space="preserve"> </w:t>
      </w:r>
      <w:r>
        <w:rPr>
          <w:rStyle w:val="VerbatimChar"/>
        </w:rPr>
        <w:t xml:space="preserve">\mathrm{roman}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\mathit{italic}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\mathbf{bold}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\mathbb{blackboard}</w:t>
      </w:r>
      <w:r>
        <w:t xml:space="preserve"> </w:t>
      </w:r>
      <w:r>
        <w:t xml:space="preserve">(требует пакет</w:t>
      </w:r>
      <w:r>
        <w:t xml:space="preserve"> </w:t>
      </w:r>
      <w:r>
        <w:rPr>
          <w:rStyle w:val="VerbatimChar"/>
        </w:rPr>
        <w:t xml:space="preserve">amssymb</w:t>
      </w:r>
      <w:r>
        <w:t xml:space="preserve">). Рассмотрено принципиальное различие между командой</w:t>
      </w:r>
      <w:r>
        <w:t xml:space="preserve"> </w:t>
      </w:r>
      <w:r>
        <w:rPr>
          <w:rStyle w:val="VerbatimChar"/>
        </w:rPr>
        <w:t xml:space="preserve">\text{}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\mathit{}</w:t>
      </w:r>
      <w:r>
        <w:t xml:space="preserve"> </w:t>
      </w:r>
      <w:r>
        <w:t xml:space="preserve">при оформлении текстовых вставок в формулах.</w:t>
      </w:r>
    </w:p>
    <w:p>
      <w:pPr>
        <w:pStyle w:val="BodyText"/>
      </w:pPr>
      <w:r>
        <w:t xml:space="preserve">Сравнение шрифтов в математическом режиме показано на скриншоте:</w:t>
      </w:r>
    </w:p>
    <w:bookmarkStart w:id="41" w:name="fig:007"/>
    <w:p>
      <w:pPr>
        <w:pStyle w:val="CaptionedFigure"/>
      </w:pPr>
      <w:r>
        <w:drawing>
          <wp:inline>
            <wp:extent cx="3733800" cy="3115895"/>
            <wp:effectExtent b="0" l="0" r="0" t="0"/>
            <wp:docPr descr="Шрифты в математическом режиме" title="fig:" id="39" name="Picture"/>
            <a:graphic>
              <a:graphicData uri="http://schemas.openxmlformats.org/drawingml/2006/picture">
                <pic:pic>
                  <pic:nvPicPr>
                    <pic:cNvPr descr="image/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Шрифты в математическом режиме</w:t>
      </w:r>
    </w:p>
    <w:bookmarkEnd w:id="41"/>
    <w:bookmarkEnd w:id="42"/>
    <w:bookmarkStart w:id="51" w:name="X23bdfa13755a040a0656c23a239375bf815115b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Матрицы с</w:t>
      </w:r>
      <w:r>
        <w:t xml:space="preserve"> </w:t>
      </w:r>
      <w:r>
        <w:rPr>
          <w:rStyle w:val="VerbatimChar"/>
        </w:rPr>
        <w:t xml:space="preserve">mathtools</w:t>
      </w:r>
      <w:r>
        <w:t xml:space="preserve"> </w:t>
      </w:r>
      <w:r>
        <w:t xml:space="preserve">и жирные символы с</w:t>
      </w:r>
      <w:r>
        <w:t xml:space="preserve"> </w:t>
      </w:r>
      <w:r>
        <w:rPr>
          <w:rStyle w:val="VerbatimChar"/>
        </w:rPr>
        <w:t xml:space="preserve">bm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b/>
          <w:bCs/>
        </w:rPr>
        <w:t xml:space="preserve">mathtools</w:t>
      </w:r>
      <w:r>
        <w:t xml:space="preserve"> </w:t>
      </w:r>
      <w:r>
        <w:t xml:space="preserve">предоставляет расширенное окружение</w:t>
      </w:r>
      <w:r>
        <w:t xml:space="preserve"> </w:t>
      </w:r>
      <w:r>
        <w:rPr>
          <w:rStyle w:val="VerbatimChar"/>
        </w:rPr>
        <w:t xml:space="preserve">pmatrix*</w:t>
      </w:r>
      <w:r>
        <w:t xml:space="preserve"> </w:t>
      </w:r>
      <w:r>
        <w:t xml:space="preserve">с возможностью задавать выравнивание столбцов, например по правому краю. Пакет</w:t>
      </w:r>
      <w:r>
        <w:t xml:space="preserve"> </w:t>
      </w:r>
      <w:r>
        <w:rPr>
          <w:b/>
          <w:bCs/>
        </w:rPr>
        <w:t xml:space="preserve">bm</w:t>
      </w:r>
      <w:r>
        <w:t xml:space="preserve"> </w:t>
      </w:r>
      <w:r>
        <w:t xml:space="preserve">позволяет делать жирными любые математические символы, включая греческие буквы и операторы, что недоступно стандартной командой</w:t>
      </w:r>
      <w:r>
        <w:t xml:space="preserve"> </w:t>
      </w:r>
      <w:r>
        <w:rPr>
          <w:rStyle w:val="VerbatimChar"/>
        </w:rPr>
        <w:t xml:space="preserve">\mathbf{}</w:t>
      </w:r>
      <w:r>
        <w:t xml:space="preserve">.</w:t>
      </w:r>
    </w:p>
    <w:p>
      <w:pPr>
        <w:pStyle w:val="BodyText"/>
      </w:pPr>
      <w:r>
        <w:t xml:space="preserve">Исходный код с матрицами и жирными символами приведён на скриншоте:</w:t>
      </w:r>
    </w:p>
    <w:bookmarkStart w:id="46" w:name="fig:008"/>
    <w:p>
      <w:pPr>
        <w:pStyle w:val="CaptionedFigure"/>
      </w:pPr>
      <w:r>
        <w:drawing>
          <wp:inline>
            <wp:extent cx="3733800" cy="1610050"/>
            <wp:effectExtent b="0" l="0" r="0" t="0"/>
            <wp:docPr descr="Исходный код с матрицами и пакетом bm" title="fig:" id="44" name="Picture"/>
            <a:graphic>
              <a:graphicData uri="http://schemas.openxmlformats.org/drawingml/2006/picture">
                <pic:pic>
                  <pic:nvPicPr>
                    <pic:cNvPr descr="image/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с матрицами и пакетом bm</w:t>
      </w:r>
    </w:p>
    <w:bookmarkEnd w:id="46"/>
    <w:p>
      <w:pPr>
        <w:pStyle w:val="BodyText"/>
      </w:pPr>
      <w:r>
        <w:t xml:space="preserve">Результат компиляции показывает корректное отображение матриц и жирных греческих символов:</w:t>
      </w:r>
    </w:p>
    <w:bookmarkStart w:id="50" w:name="fig:009"/>
    <w:p>
      <w:pPr>
        <w:pStyle w:val="CaptionedFigure"/>
      </w:pPr>
      <w:r>
        <w:drawing>
          <wp:inline>
            <wp:extent cx="3733800" cy="3372828"/>
            <wp:effectExtent b="0" l="0" r="0" t="0"/>
            <wp:docPr descr="Результат PDF с матрицами и жирными символами" title="fig:" id="48" name="Picture"/>
            <a:graphic>
              <a:graphicData uri="http://schemas.openxmlformats.org/drawingml/2006/picture">
                <pic:pic>
                  <pic:nvPicPr>
                    <pic:cNvPr descr="image/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2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PDF с матрицами и жирными символами</w:t>
      </w:r>
    </w:p>
    <w:bookmarkEnd w:id="50"/>
    <w:bookmarkEnd w:id="51"/>
    <w:bookmarkStart w:id="53" w:name="X7f2d2ba6c9d00c81a5967d0095082b4dad4809b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Эксперименты с параметрами класса документа</w:t>
      </w:r>
    </w:p>
    <w:p>
      <w:pPr>
        <w:pStyle w:val="FirstParagraph"/>
      </w:pPr>
      <w:r>
        <w:t xml:space="preserve">В завершение были опробованы дополнительные опции класса документа:</w:t>
      </w:r>
      <w:r>
        <w:t xml:space="preserve"> </w:t>
      </w:r>
      <w:r>
        <w:rPr>
          <w:rStyle w:val="VerbatimChar"/>
        </w:rPr>
        <w:t xml:space="preserve">[fleqn]</w:t>
      </w:r>
      <w:r>
        <w:t xml:space="preserve"> </w:t>
      </w:r>
      <w:r>
        <w:t xml:space="preserve">для выравнивания уравнений по левому краю вместо центрирования, и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 </w:t>
      </w:r>
      <w:r>
        <w:t xml:space="preserve">для размещения номеров уравнений слева. Оба параметра позволяют гибко настраивать внешний вид математических выражений в зависимости от требований оформления.</w:t>
      </w:r>
    </w:p>
    <w:p>
      <w:pPr>
        <w:pStyle w:val="BodyText"/>
      </w:pPr>
      <w:r>
        <w:t xml:space="preserve">Результат применения параметров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leqno</w:t>
      </w:r>
      <w:r>
        <w:t xml:space="preserve"> </w:t>
      </w:r>
      <w:r>
        <w:t xml:space="preserve">показан на скриншоте:</w:t>
      </w:r>
    </w:p>
    <w:bookmarkStart w:id="52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Параметры fleqn и leqno класса документа</w:t>
            </w:r>
          </w:p>
        </w:tc>
      </w:tr>
    </w:tbl>
    <w:p>
      <w:pPr>
        <w:pStyle w:val="ImageCaption"/>
      </w:pPr>
      <w:r>
        <w:t xml:space="preserve">Параметры fleqn и leqno класса документа</w:t>
      </w:r>
    </w:p>
    <w:bookmarkEnd w:id="52"/>
    <w:bookmarkEnd w:id="53"/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освоены следующие ключевые навыки:</w:t>
      </w:r>
    </w:p>
    <w:p>
      <w:pPr>
        <w:pStyle w:val="Compact"/>
        <w:numPr>
          <w:ilvl w:val="0"/>
          <w:numId w:val="1001"/>
        </w:numPr>
      </w:pPr>
      <w:r>
        <w:t xml:space="preserve">правильное использование встроенного и выносного математических режимов, набор сложных формул с индексами, интегралами и греческими буквами;</w:t>
      </w:r>
    </w:p>
    <w:p>
      <w:pPr>
        <w:pStyle w:val="Compact"/>
        <w:numPr>
          <w:ilvl w:val="0"/>
          <w:numId w:val="1001"/>
        </w:numPr>
      </w:pPr>
      <w:r>
        <w:t xml:space="preserve">применение пакета</w:t>
      </w:r>
      <w:r>
        <w:t xml:space="preserve"> </w:t>
      </w:r>
      <w:r>
        <w:rPr>
          <w:b/>
          <w:bCs/>
        </w:rPr>
        <w:t xml:space="preserve">amsmath</w:t>
      </w:r>
      <w:r>
        <w:t xml:space="preserve"> </w:t>
      </w:r>
      <w:r>
        <w:t xml:space="preserve">для выравнивания уравнений, многострочных формул и автоматической нумерации; пакета</w:t>
      </w:r>
      <w:r>
        <w:t xml:space="preserve"> </w:t>
      </w:r>
      <w:r>
        <w:rPr>
          <w:b/>
          <w:bCs/>
        </w:rPr>
        <w:t xml:space="preserve">bm</w:t>
      </w:r>
      <w:r>
        <w:t xml:space="preserve"> </w:t>
      </w:r>
      <w:r>
        <w:t xml:space="preserve">для жирных математических символов; пакета</w:t>
      </w:r>
      <w:r>
        <w:t xml:space="preserve"> </w:t>
      </w:r>
      <w:r>
        <w:rPr>
          <w:b/>
          <w:bCs/>
        </w:rPr>
        <w:t xml:space="preserve">mathtools</w:t>
      </w:r>
      <w:r>
        <w:t xml:space="preserve"> </w:t>
      </w:r>
      <w:r>
        <w:t xml:space="preserve">для улучшенного форматирования матриц;</w:t>
      </w:r>
    </w:p>
    <w:p>
      <w:pPr>
        <w:pStyle w:val="Compact"/>
        <w:numPr>
          <w:ilvl w:val="0"/>
          <w:numId w:val="1001"/>
        </w:numPr>
      </w:pPr>
      <w:r>
        <w:t xml:space="preserve">изменение шрифтов в математических выражениях с помощью команд</w:t>
      </w:r>
      <w:r>
        <w:t xml:space="preserve"> </w:t>
      </w:r>
      <w:r>
        <w:rPr>
          <w:rStyle w:val="VerbatimChar"/>
        </w:rPr>
        <w:t xml:space="preserve">\mathrm{}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\mathit{}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\mathbf{}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\mathbb{}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создание нумерованных уравнений и настройка их выравнивания и нумерации через параметры класса документа</w:t>
      </w:r>
      <w:r>
        <w:t xml:space="preserve"> </w:t>
      </w:r>
      <w:r>
        <w:rPr>
          <w:rStyle w:val="VerbatimChar"/>
        </w:rPr>
        <w:t xml:space="preserve">[fleqn]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создание полного LaTeX-документа с математическим содержанием и экспериментирование с различными командами для достижения профессионального форматирования.</w:t>
      </w:r>
    </w:p>
    <w:p>
      <w:pPr>
        <w:pStyle w:val="FirstParagraph"/>
      </w:pPr>
      <w:r>
        <w:t xml:space="preserve">LaTeX предоставляет мощные и гибкие средства для набора сложных математических выражений, что делает его стандартом для научных публикаций. Использование специализированных пакетов значительно расширяет базовые возможности и позволяет создавать профессионально оформленные математические тексты с высокой степенью точности и согласованности.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Хосе Фернандо Леон Атупанья</dc:creator>
  <dc:language>ru-RU</dc:language>
  <cp:keywords/>
  <dcterms:created xsi:type="dcterms:W3CDTF">2026-03-18T04:38:59Z</dcterms:created>
  <dcterms:modified xsi:type="dcterms:W3CDTF">2026-03-18T04:38:59Z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Ligatures=Common,Ligatures=TeX,Scale=1.0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Ligatures=Common,Ligatures=TeX,Scale=1.0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