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E1F" w14:textId="77777777" w:rsidR="00294E81" w:rsidRDefault="00000000" w:rsidP="00FD3C38">
      <w:pPr>
        <w:pStyle w:val="Heading1"/>
        <w:jc w:val="center"/>
      </w:pPr>
      <w:r>
        <w:t>Childcare Cost Analysis Plan</w:t>
      </w:r>
    </w:p>
    <w:p w14:paraId="26B1B2B2" w14:textId="77777777" w:rsidR="00FD3C38" w:rsidRPr="00FD3C38" w:rsidRDefault="00FD3C38" w:rsidP="00FD3C38"/>
    <w:p w14:paraId="5DE049DB" w14:textId="470CE441" w:rsidR="00294E81" w:rsidRDefault="00000000">
      <w:r>
        <w:rPr>
          <w:sz w:val="24"/>
        </w:rPr>
        <w:t>Summary of Analysis</w:t>
      </w:r>
      <w:r>
        <w:rPr>
          <w:sz w:val="24"/>
        </w:rPr>
        <w:br/>
        <w:t xml:space="preserve">The National Database of Childcare Prices dataset provides a detailed look into childcare costs across U.S. counties from 2008 onward. It includes center-based and family-based childcare pricing for infants, toddlers, and preschoolers, along with local economic indicators like unemployment rates by gender and age. This dataset enables an in-depth investigation of how childcare costs have evolved </w:t>
      </w:r>
      <w:r w:rsidR="004E139D">
        <w:rPr>
          <w:sz w:val="24"/>
        </w:rPr>
        <w:t>and</w:t>
      </w:r>
      <w:r>
        <w:rPr>
          <w:sz w:val="24"/>
        </w:rPr>
        <w:t xml:space="preserve"> differ by geographic region and economic context. It also provides an opportunity to ...</w:t>
      </w:r>
    </w:p>
    <w:p w14:paraId="007E344C" w14:textId="14C1548F" w:rsidR="00294E81" w:rsidRDefault="00000000">
      <w:r>
        <w:rPr>
          <w:sz w:val="24"/>
        </w:rPr>
        <w:t>Findings</w:t>
      </w:r>
      <w:r>
        <w:rPr>
          <w:sz w:val="24"/>
        </w:rPr>
        <w:br/>
        <w:t xml:space="preserve">Preliminary analysis shows that childcare costs have steadily increased year over year, with infant care consistently being the most expensive across all locations. Center-based care (MFC) is generally higher than family-based care (FCC), with the gap widening in urban and high-cost-of-living regions. There are also notable cost disparities between states and urban and rural counties. Some </w:t>
      </w:r>
      <w:r w:rsidR="004E139D">
        <w:rPr>
          <w:sz w:val="24"/>
        </w:rPr>
        <w:t>areas</w:t>
      </w:r>
      <w:r>
        <w:rPr>
          <w:sz w:val="24"/>
        </w:rPr>
        <w:t xml:space="preserve"> appear to have costs that outpace local economic growth, potentially making childcare less </w:t>
      </w:r>
      <w:r w:rsidR="004E139D">
        <w:rPr>
          <w:sz w:val="24"/>
        </w:rPr>
        <w:t>affordable</w:t>
      </w:r>
      <w:r>
        <w:rPr>
          <w:sz w:val="24"/>
        </w:rPr>
        <w:t>...</w:t>
      </w:r>
    </w:p>
    <w:p w14:paraId="04A90401" w14:textId="3B713C20" w:rsidR="00294E81" w:rsidRDefault="00000000">
      <w:r>
        <w:rPr>
          <w:sz w:val="24"/>
        </w:rPr>
        <w:t>Assumptions</w:t>
      </w:r>
      <w:r>
        <w:rPr>
          <w:sz w:val="24"/>
        </w:rPr>
        <w:br/>
        <w:t xml:space="preserve">The analysis assumes that cost data are reported on a full-time, annualized basis and are comparable across counties. It also assumes that county-level unemployment rates can </w:t>
      </w:r>
      <w:r w:rsidR="004E139D">
        <w:rPr>
          <w:sz w:val="24"/>
        </w:rPr>
        <w:t>support</w:t>
      </w:r>
      <w:r>
        <w:rPr>
          <w:sz w:val="24"/>
        </w:rPr>
        <w:t xml:space="preserve"> broader local economic conditions. It will be assumed that flagged data points indicate missing or estimated values and will be handled accordingly in further analysis.</w:t>
      </w:r>
    </w:p>
    <w:p w14:paraId="630B5D46" w14:textId="77777777" w:rsidR="00294E81" w:rsidRDefault="00000000">
      <w:r>
        <w:rPr>
          <w:sz w:val="24"/>
        </w:rPr>
        <w:t>Items That Still Need Clarification</w:t>
      </w:r>
      <w:r>
        <w:rPr>
          <w:sz w:val="24"/>
        </w:rPr>
        <w:br/>
        <w:t>- Clarification is needed on how the median and 75th percentile cost figures were computed and if they are adjusted for inflation.</w:t>
      </w:r>
      <w:r>
        <w:rPr>
          <w:sz w:val="24"/>
        </w:rPr>
        <w:br/>
        <w:t>- The meaning of the `_flag` fields needs to be confirmed, as they may influence how data cleaning is performed.</w:t>
      </w:r>
      <w:r>
        <w:rPr>
          <w:sz w:val="24"/>
        </w:rPr>
        <w:br/>
        <w:t>- Population or demographic weighting may be necessary for more accurate comparisons, but these data are not included.</w:t>
      </w:r>
    </w:p>
    <w:p w14:paraId="460633A2" w14:textId="736DE1E9" w:rsidR="00294E81" w:rsidRDefault="00000000">
      <w:r>
        <w:rPr>
          <w:sz w:val="24"/>
        </w:rPr>
        <w:t>Direction of Story / Plan of Attack / Message</w:t>
      </w:r>
      <w:r>
        <w:rPr>
          <w:sz w:val="24"/>
        </w:rPr>
        <w:br/>
        <w:t xml:space="preserve">The narrative will emphasize the rising and unequal burden of childcare costs in the U.S. and how these costs vary widely by geography. The goal is to show that the </w:t>
      </w:r>
      <w:r w:rsidR="004E139D">
        <w:rPr>
          <w:sz w:val="24"/>
        </w:rPr>
        <w:t>increasing</w:t>
      </w:r>
      <w:r>
        <w:rPr>
          <w:sz w:val="24"/>
        </w:rPr>
        <w:t xml:space="preserve"> cost of care disproportionately affects </w:t>
      </w:r>
      <w:r w:rsidR="004E139D">
        <w:rPr>
          <w:sz w:val="24"/>
        </w:rPr>
        <w:t>specific</w:t>
      </w:r>
      <w:r>
        <w:rPr>
          <w:sz w:val="24"/>
        </w:rPr>
        <w:t xml:space="preserve"> communities and contributes to </w:t>
      </w:r>
      <w:r w:rsidR="004E139D">
        <w:rPr>
          <w:sz w:val="24"/>
        </w:rPr>
        <w:t>workforce participation and economic mobility challenges</w:t>
      </w:r>
      <w:r>
        <w:rPr>
          <w:sz w:val="24"/>
        </w:rPr>
        <w:t xml:space="preserve">. The story </w:t>
      </w:r>
      <w:r>
        <w:rPr>
          <w:sz w:val="24"/>
        </w:rPr>
        <w:lastRenderedPageBreak/>
        <w:t xml:space="preserve">will advocate for greater policy attention to childcare affordability as a key component of </w:t>
      </w:r>
      <w:r w:rsidR="004E139D">
        <w:rPr>
          <w:sz w:val="24"/>
        </w:rPr>
        <w:t>financial</w:t>
      </w:r>
      <w:r>
        <w:rPr>
          <w:sz w:val="24"/>
        </w:rPr>
        <w:t xml:space="preserve"> equity.</w:t>
      </w:r>
    </w:p>
    <w:p w14:paraId="76F7A956" w14:textId="10234079" w:rsidR="00294E81" w:rsidRDefault="00000000">
      <w:r>
        <w:rPr>
          <w:sz w:val="24"/>
        </w:rPr>
        <w:t>Target Audience</w:t>
      </w:r>
      <w:r>
        <w:rPr>
          <w:sz w:val="24"/>
        </w:rPr>
        <w:br/>
        <w:t>The intended audience includes policymakers, government agencies, nonprofit advocacy groups, and social policy researchers focused on family economics, childcare access, and workforce participation. They may not be technical experts</w:t>
      </w:r>
      <w:r w:rsidR="004E139D">
        <w:rPr>
          <w:sz w:val="24"/>
        </w:rPr>
        <w:t xml:space="preserve"> so that</w:t>
      </w:r>
      <w:r>
        <w:rPr>
          <w:sz w:val="24"/>
        </w:rPr>
        <w:t xml:space="preserve"> the analysis will focus on high-level insights, accessible visuals, and clear explanations.</w:t>
      </w:r>
    </w:p>
    <w:p w14:paraId="16284021" w14:textId="373A3E6F" w:rsidR="00294E81" w:rsidRDefault="00000000">
      <w:r>
        <w:rPr>
          <w:sz w:val="24"/>
        </w:rPr>
        <w:t>Mediums</w:t>
      </w:r>
      <w:r>
        <w:rPr>
          <w:sz w:val="24"/>
        </w:rPr>
        <w:br/>
        <w:t>1. Interactive Dashboard (</w:t>
      </w:r>
      <w:r w:rsidR="004E139D">
        <w:rPr>
          <w:sz w:val="24"/>
        </w:rPr>
        <w:t>Power BI</w:t>
      </w:r>
      <w:r>
        <w:rPr>
          <w:sz w:val="24"/>
        </w:rPr>
        <w:t>): To allow users to explore cost trends across counties, states, years, and age groups on an interactive map.</w:t>
      </w:r>
      <w:r>
        <w:rPr>
          <w:sz w:val="24"/>
        </w:rPr>
        <w:br/>
        <w:t>2. Written Analytical Report (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</w:t>
      </w:r>
      <w:r w:rsidR="004E139D">
        <w:rPr>
          <w:sz w:val="24"/>
        </w:rPr>
        <w:t>k</w:t>
      </w:r>
      <w:r>
        <w:rPr>
          <w:sz w:val="24"/>
        </w:rPr>
        <w:t>): A data-driven report with visualizations and statistical analysis showing cost trends and disparities.</w:t>
      </w:r>
      <w:r>
        <w:rPr>
          <w:sz w:val="24"/>
        </w:rPr>
        <w:br/>
        <w:t xml:space="preserve">3. Infographic Poster: A visually engaging summary highlighting </w:t>
      </w:r>
      <w:r w:rsidR="004E139D">
        <w:rPr>
          <w:sz w:val="24"/>
        </w:rPr>
        <w:t>significant</w:t>
      </w:r>
      <w:r>
        <w:rPr>
          <w:sz w:val="24"/>
        </w:rPr>
        <w:t xml:space="preserve"> findings and key statistics </w:t>
      </w:r>
      <w:r w:rsidR="004E139D">
        <w:rPr>
          <w:sz w:val="24"/>
        </w:rPr>
        <w:t>to inform non-technical stakeholders quickly</w:t>
      </w:r>
      <w:r>
        <w:rPr>
          <w:sz w:val="24"/>
        </w:rPr>
        <w:t>.</w:t>
      </w:r>
    </w:p>
    <w:sectPr w:rsidR="00294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406721">
    <w:abstractNumId w:val="8"/>
  </w:num>
  <w:num w:numId="2" w16cid:durableId="918247804">
    <w:abstractNumId w:val="6"/>
  </w:num>
  <w:num w:numId="3" w16cid:durableId="1246457935">
    <w:abstractNumId w:val="5"/>
  </w:num>
  <w:num w:numId="4" w16cid:durableId="1857452152">
    <w:abstractNumId w:val="4"/>
  </w:num>
  <w:num w:numId="5" w16cid:durableId="223949951">
    <w:abstractNumId w:val="7"/>
  </w:num>
  <w:num w:numId="6" w16cid:durableId="1699233417">
    <w:abstractNumId w:val="3"/>
  </w:num>
  <w:num w:numId="7" w16cid:durableId="128787891">
    <w:abstractNumId w:val="2"/>
  </w:num>
  <w:num w:numId="8" w16cid:durableId="1545942459">
    <w:abstractNumId w:val="1"/>
  </w:num>
  <w:num w:numId="9" w16cid:durableId="176973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E81"/>
    <w:rsid w:val="0029639D"/>
    <w:rsid w:val="00326F90"/>
    <w:rsid w:val="004E139D"/>
    <w:rsid w:val="00536401"/>
    <w:rsid w:val="00AA1D8D"/>
    <w:rsid w:val="00B47730"/>
    <w:rsid w:val="00CB0664"/>
    <w:rsid w:val="00FC693F"/>
    <w:rsid w:val="00F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FEFE3"/>
  <w14:defaultImageDpi w14:val="300"/>
  <w15:docId w15:val="{C3ADA2EF-5C3F-4FB7-9B60-80EBB360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2654</Characters>
  <Application>Microsoft Office Word</Application>
  <DocSecurity>0</DocSecurity>
  <Lines>49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 May</cp:lastModifiedBy>
  <cp:revision>3</cp:revision>
  <dcterms:created xsi:type="dcterms:W3CDTF">2025-09-18T14:15:00Z</dcterms:created>
  <dcterms:modified xsi:type="dcterms:W3CDTF">2025-09-18T14:15:00Z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aabd3392-a94c-4c90-8b76-f1a7bb11e6d2</vt:lpwstr>
  </property>
</Properties>
</file>