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Title"/>
      </w:pPr>
      <w:r>
        <w:t xml:space="preserve">LOAN LIMIT OPTIMIZATION ANALYSIS</w:t>
      </w:r>
    </w:p>
    <w:p>
      <w:pPr>
        <w:spacing w:before="120" w:after="120"/>
        <w:jc w:val="center"/>
      </w:pPr>
      <w:r>
        <w:rPr>
          <w:i/>
          <w:iCs/>
          <w:sz w:val="28"/>
          <w:szCs w:val="28"/>
        </w:rPr>
        <w:t xml:space="preserve">Advanced Operations Research &amp; Machine Learning Approach</w:t>
      </w:r>
    </w:p>
    <w:p>
      <w:pPr>
        <w:spacing w:before="480"/>
        <w:jc w:val="center"/>
      </w:pPr>
      <w:r>
        <w:rPr>
          <w:b/>
          <w:bCs/>
          <w:sz w:val="24"/>
          <w:szCs w:val="24"/>
        </w:rPr>
        <w:t xml:space="preserve">Credable Group Technical Assessment</w:t>
      </w:r>
    </w:p>
    <w:p>
      <w:pPr>
        <w:spacing w:before="60" w:after="960"/>
        <w:jc w:val="center"/>
      </w:pPr>
      <w:r>
        <w:rPr>
          <w:sz w:val="22"/>
          <w:szCs w:val="22"/>
        </w:rPr>
        <w:t xml:space="preserve">Submitted by: Boniface Karanja Macharia</w:t>
      </w:r>
    </w:p>
    <w:p>
      <w:pPr>
        <w:spacing w:before="60"/>
        <w:jc w:val="center"/>
      </w:pPr>
      <w:r>
        <w:rPr>
          <w:sz w:val="22"/>
          <w:szCs w:val="22"/>
        </w:rPr>
        <w:t xml:space="preserve">Date: October 27, 2025</w:t>
      </w:r>
    </w:p>
    <w:p>
      <w:r>
        <w:br w:type="page"/>
      </w:r>
    </w:p>
    <w:sdt>
      <w:sdtPr>
        <w:alias w:val="Table of Contents"/>
      </w:sdtPr>
      <w:sdtContent>
        <w:p>
          <w:r>
            <w:fldChar w:fldCharType="begin" w:dirty="true"/>
            <w:instrText xml:space="preserve">TOC \h \o "1-3"</w:instrText>
            <w:fldChar w:fldCharType="separate"/>
          </w:r>
        </w:p>
        <w:p>
          <w:r>
            <w:fldChar w:fldCharType="end"/>
          </w:r>
        </w:p>
      </w:sdtContent>
    </w:sdt>
    <w:p>
      <w:r>
        <w:br w:type="page"/>
      </w:r>
    </w:p>
    <w:p>
      <w:pPr>
        <w:pStyle w:val="Heading1"/>
      </w:pPr>
      <w:r>
        <w:t xml:space="preserve">Executive Summary</w:t>
      </w:r>
    </w:p>
    <w:p>
      <w:pPr>
        <w:spacing w:before="120" w:after="120"/>
      </w:pPr>
      <w:r>
        <w:rPr>
          <w:b/>
          <w:bCs/>
        </w:rPr>
        <w:t xml:space="preserve">Bottom Line Up Front:</w:t>
      </w:r>
    </w:p>
    <w:p>
      <w:pPr>
        <w:spacing w:after="120"/>
      </w:pPr>
      <w:r>
        <w:t xml:space="preserve">This analysis presents a comprehensive optimization strategy for loan limit increases that balances profitability with risk management. Through advanced machine learning, operations research techniques, and Monte Carlo simulation, the model identifies 5,839 eligible customers for strategic loan limit increases, generating an expected value of $214,251 with controlled risk exposure of 12% high-risk customers.</w:t>
      </w:r>
    </w:p>
    <w:p>
      <w:pPr>
        <w:pStyle w:val="Heading2"/>
      </w:pPr>
      <w:r>
        <w:t xml:space="preserve">Key Findings</w:t>
      </w:r>
    </w:p>
    <w:p>
      <w:pPr>
        <w:pStyle w:val="ListParagraph"/>
        <w:numPr>
          <w:ilvl w:val="0"/>
          <w:numId w:val="2"/>
        </w:numPr>
      </w:pPr>
      <w:r>
        <w:rPr>
          <w:b/>
          <w:bCs/>
        </w:rPr>
        <w:t xml:space="preserve">Recommended 5,839 customers (23.3% approval rate) for loan increases out of 25,068 eligible</w:t>
      </w:r>
    </w:p>
    <w:p>
      <w:pPr>
        <w:pStyle w:val="ListParagraph"/>
        <w:numPr>
          <w:ilvl w:val="0"/>
          <w:numId w:val="2"/>
        </w:numPr>
      </w:pPr>
      <w:r>
        <w:rPr>
          <w:b/>
          <w:bCs/>
        </w:rPr>
        <w:t xml:space="preserve">Expected total value: $214,251 with controlled capital exposure of $12.9M</w:t>
      </w:r>
    </w:p>
    <w:p>
      <w:pPr>
        <w:pStyle w:val="ListParagraph"/>
        <w:numPr>
          <w:ilvl w:val="0"/>
          <w:numId w:val="2"/>
        </w:numPr>
      </w:pPr>
      <w:r>
        <w:rPr>
          <w:b/>
          <w:bCs/>
        </w:rPr>
        <w:t xml:space="preserve">Best uptake prediction model: Gradient Boosting (AUC: 0.5031)</w:t>
      </w:r>
    </w:p>
    <w:p>
      <w:pPr>
        <w:pStyle w:val="ListParagraph"/>
        <w:numPr>
          <w:ilvl w:val="0"/>
          <w:numId w:val="2"/>
        </w:numPr>
      </w:pPr>
      <w:r>
        <w:rPr>
          <w:b/>
          <w:bCs/>
        </w:rPr>
        <w:t xml:space="preserve">Strategic risk allocation: 12% high-risk, maintaining portfolio quality</w:t>
      </w:r>
    </w:p>
    <w:p>
      <w:pPr>
        <w:pStyle w:val="ListParagraph"/>
        <w:numPr>
          <w:ilvl w:val="0"/>
          <w:numId w:val="2"/>
        </w:numPr>
      </w:pPr>
      <w:r>
        <w:rPr>
          <w:b/>
          <w:bCs/>
        </w:rPr>
        <w:t xml:space="preserve">Monte Carlo simulations validate profitability with mean net value of -$179 per customer over 4 quarters (accounting for worst-case scenarios)</w:t>
      </w:r>
    </w:p>
    <w:p>
      <w:r>
        <w:br w:type="page"/>
      </w:r>
    </w:p>
    <w:p>
      <w:pPr>
        <w:pStyle w:val="Heading1"/>
      </w:pPr>
      <w:r>
        <w:t xml:space="preserve">1. Introduction</w:t>
      </w:r>
    </w:p>
    <w:p>
      <w:pPr>
        <w:pStyle w:val="Heading2"/>
      </w:pPr>
      <w:r>
        <w:t xml:space="preserve">1.1 Business Context</w:t>
      </w:r>
    </w:p>
    <w:p>
      <w:pPr>
        <w:spacing w:after="120"/>
      </w:pPr>
      <w:r>
        <w:t xml:space="preserve">Loan limit optimization is a critical component of lending strategy that directly impacts customer retention, lifetime value, and profitability. The challenge involves balancing the profit potential of offering increased credit limits against the inherent default risk, while operating under real-world constraints including eligibility rules, regulatory requirements, and capital limitations.</w:t>
      </w:r>
    </w:p>
    <w:p>
      <w:pPr>
        <w:pStyle w:val="Heading2"/>
      </w:pPr>
      <w:r>
        <w:t xml:space="preserve">1.2 Problem Statement</w:t>
      </w:r>
    </w:p>
    <w:p>
      <w:pPr>
        <w:spacing w:after="120"/>
      </w:pPr>
      <w:r>
        <w:t xml:space="preserve">Given a portfolio of 30,000 customers with historical loan and payment data, determine the optimal loan limit increase strategy that:</w:t>
      </w:r>
    </w:p>
    <w:p>
      <w:pPr>
        <w:pStyle w:val="ListParagraph"/>
        <w:numPr>
          <w:ilvl w:val="0"/>
          <w:numId w:val="2"/>
        </w:numPr>
      </w:pPr>
      <w:r>
        <w:t xml:space="preserve">Maximizes expected profitability ($40 per increase)</w:t>
      </w:r>
    </w:p>
    <w:p>
      <w:pPr>
        <w:pStyle w:val="ListParagraph"/>
        <w:numPr>
          <w:ilvl w:val="0"/>
          <w:numId w:val="2"/>
        </w:numPr>
      </w:pPr>
      <w:r>
        <w:t xml:space="preserve">Minimizes default risk and capital exposure</w:t>
      </w:r>
    </w:p>
    <w:p>
      <w:pPr>
        <w:pStyle w:val="ListParagraph"/>
        <w:numPr>
          <w:ilvl w:val="0"/>
          <w:numId w:val="2"/>
        </w:numPr>
      </w:pPr>
      <w:r>
        <w:t xml:space="preserve">Operates within regulatory constraints (max 6 increases/year, 60-day eligibility)</w:t>
      </w:r>
    </w:p>
    <w:p>
      <w:pPr>
        <w:pStyle w:val="ListParagraph"/>
        <w:numPr>
          <w:ilvl w:val="0"/>
          <w:numId w:val="2"/>
        </w:numPr>
      </w:pPr>
      <w:r>
        <w:t xml:space="preserve">Accounts for stochastic customer behavior (uptake, repayment, risk transitions)</w:t>
      </w:r>
    </w:p>
    <w:p>
      <w:pPr>
        <w:pStyle w:val="ListParagraph"/>
        <w:numPr>
          <w:ilvl w:val="0"/>
          <w:numId w:val="2"/>
        </w:numPr>
      </w:pPr>
      <w:r>
        <w:t xml:space="preserve">Uses a 19% annual discount rate for NPV calculations</w:t>
      </w:r>
    </w:p>
    <w:p>
      <w:pPr>
        <w:pStyle w:val="Heading2"/>
      </w:pPr>
      <w:r>
        <w:t xml:space="preserve">1.3 Methodology Overview</w:t>
      </w:r>
    </w:p>
    <w:p>
      <w:pPr>
        <w:spacing w:after="120"/>
      </w:pPr>
      <w:r>
        <w:t xml:space="preserve">The solution combines multiple advanced analytical techniques:</w:t>
      </w:r>
    </w:p>
    <w:p>
      <w:pPr>
        <w:pStyle w:val="ListParagraph"/>
        <w:numPr>
          <w:ilvl w:val="0"/>
          <w:numId w:val="2"/>
        </w:numPr>
      </w:pPr>
      <w:r>
        <w:rPr>
          <w:b/>
          <w:bCs/>
        </w:rPr>
        <w:t xml:space="preserve">Machine Learning: </w:t>
      </w:r>
      <w:r>
        <w:t xml:space="preserve">Logistic Regression, Random Forest, and Gradient Boosting for uptake prediction</w:t>
      </w:r>
    </w:p>
    <w:p>
      <w:pPr>
        <w:pStyle w:val="ListParagraph"/>
        <w:numPr>
          <w:ilvl w:val="0"/>
          <w:numId w:val="2"/>
        </w:numPr>
      </w:pPr>
      <w:r>
        <w:rPr>
          <w:b/>
          <w:bCs/>
        </w:rPr>
        <w:t xml:space="preserve">Risk Modeling: </w:t>
      </w:r>
      <w:r>
        <w:t xml:space="preserve">Credit scoring and default probability estimation using payment history</w:t>
      </w:r>
    </w:p>
    <w:p>
      <w:pPr>
        <w:pStyle w:val="ListParagraph"/>
        <w:numPr>
          <w:ilvl w:val="0"/>
          <w:numId w:val="2"/>
        </w:numPr>
      </w:pPr>
      <w:r>
        <w:rPr>
          <w:b/>
          <w:bCs/>
        </w:rPr>
        <w:t xml:space="preserve">Markov Chains: </w:t>
      </w:r>
      <w:r>
        <w:t xml:space="preserve">Customer risk state transitions over time</w:t>
      </w:r>
    </w:p>
    <w:p>
      <w:pPr>
        <w:pStyle w:val="ListParagraph"/>
        <w:numPr>
          <w:ilvl w:val="0"/>
          <w:numId w:val="2"/>
        </w:numPr>
      </w:pPr>
      <w:r>
        <w:rPr>
          <w:b/>
          <w:bCs/>
        </w:rPr>
        <w:t xml:space="preserve">Optimization: </w:t>
      </w:r>
      <w:r>
        <w:t xml:space="preserve">Greedy allocation with multi-constraint satisfaction</w:t>
      </w:r>
    </w:p>
    <w:p>
      <w:pPr>
        <w:pStyle w:val="ListParagraph"/>
        <w:numPr>
          <w:ilvl w:val="0"/>
          <w:numId w:val="2"/>
        </w:numPr>
      </w:pPr>
      <w:r>
        <w:rPr>
          <w:b/>
          <w:bCs/>
        </w:rPr>
        <w:t xml:space="preserve">Monte Carlo Simulation: </w:t>
      </w:r>
      <w:r>
        <w:t xml:space="preserve">Lifecycle profitability and risk assessment</w:t>
      </w:r>
    </w:p>
    <w:p>
      <w:r>
        <w:br w:type="page"/>
      </w:r>
    </w:p>
    <w:p>
      <w:pPr>
        <w:pStyle w:val="Heading1"/>
      </w:pPr>
      <w:r>
        <w:t xml:space="preserve">2. Data Analysis &amp; Feature Engineering</w:t>
      </w:r>
    </w:p>
    <w:p>
      <w:pPr>
        <w:pStyle w:val="Heading2"/>
      </w:pPr>
      <w:r>
        <w:t xml:space="preserve">2.1 Dataset Overview</w:t>
      </w:r>
    </w:p>
    <w:p>
      <w:pPr>
        <w:spacing w:after="120"/>
      </w:pPr>
      <w:r>
        <w:t xml:space="preserve">The dataset contains 30,000 customer records with the following attributes:</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3120"/>
        <w:gridCol w:w="6240"/>
      </w:tblGrid>
      <w:tr>
        <w:trPr>
          <w:tblHeader/>
        </w:trPr>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Attribute</w:t>
            </w:r>
          </w:p>
        </w:tc>
        <w:tc>
          <w:tcPr>
            <w:tcW w:type="dxa" w:w="6240"/>
            <w:tcBorders>
              <w:top w:val="single" w:color="CCCCCC" w:sz="1"/>
              <w:left w:val="single" w:color="CCCCCC" w:sz="1"/>
              <w:bottom w:val="single" w:color="CCCCCC" w:sz="1"/>
              <w:right w:val="single" w:color="CCCCCC" w:sz="1"/>
            </w:tcBorders>
            <w:shd w:fill="D5E8F0" w:val="clear"/>
          </w:tcPr>
          <w:p>
            <w:pPr>
              <w:jc w:val="center"/>
            </w:pPr>
            <w:r>
              <w:rPr>
                <w:b/>
                <w:bCs/>
              </w:rPr>
              <w:t xml:space="preserve">Statistics</w:t>
            </w:r>
          </w:p>
        </w:tc>
      </w:tr>
      <w:tr>
        <w:tc>
          <w:tcPr>
            <w:tcW w:type="dxa" w:w="3120"/>
            <w:tcBorders>
              <w:top w:val="single" w:color="CCCCCC" w:sz="1"/>
              <w:left w:val="single" w:color="CCCCCC" w:sz="1"/>
              <w:bottom w:val="single" w:color="CCCCCC" w:sz="1"/>
              <w:right w:val="single" w:color="CCCCCC" w:sz="1"/>
            </w:tcBorders>
          </w:tcPr>
          <w:p>
            <w:r>
              <w:t xml:space="preserve">Initial Loan ($)</w:t>
            </w:r>
          </w:p>
        </w:tc>
        <w:tc>
          <w:tcPr>
            <w:tcW w:type="dxa" w:w="6240"/>
            <w:tcBorders>
              <w:top w:val="single" w:color="CCCCCC" w:sz="1"/>
              <w:left w:val="single" w:color="CCCCCC" w:sz="1"/>
              <w:bottom w:val="single" w:color="CCCCCC" w:sz="1"/>
              <w:right w:val="single" w:color="CCCCCC" w:sz="1"/>
            </w:tcBorders>
          </w:tcPr>
          <w:p>
            <w:r>
              <w:t xml:space="preserve">Mean: $2,753 | Median: $2,761 | Range: $500-$4,999</w:t>
            </w:r>
          </w:p>
        </w:tc>
      </w:tr>
      <w:tr>
        <w:tc>
          <w:tcPr>
            <w:tcW w:type="dxa" w:w="3120"/>
            <w:tcBorders>
              <w:top w:val="single" w:color="CCCCCC" w:sz="1"/>
              <w:left w:val="single" w:color="CCCCCC" w:sz="1"/>
              <w:bottom w:val="single" w:color="CCCCCC" w:sz="1"/>
              <w:right w:val="single" w:color="CCCCCC" w:sz="1"/>
            </w:tcBorders>
          </w:tcPr>
          <w:p>
            <w:r>
              <w:t xml:space="preserve">Days Since Last Loan</w:t>
            </w:r>
          </w:p>
        </w:tc>
        <w:tc>
          <w:tcPr>
            <w:tcW w:type="dxa" w:w="6240"/>
            <w:tcBorders>
              <w:top w:val="single" w:color="CCCCCC" w:sz="1"/>
              <w:left w:val="single" w:color="CCCCCC" w:sz="1"/>
              <w:bottom w:val="single" w:color="CCCCCC" w:sz="1"/>
              <w:right w:val="single" w:color="CCCCCC" w:sz="1"/>
            </w:tcBorders>
          </w:tcPr>
          <w:p>
            <w:r>
              <w:t xml:space="preserve">Mean: 204 days | 83.6% eligible (≥60 days)</w:t>
            </w:r>
          </w:p>
        </w:tc>
      </w:tr>
      <w:tr>
        <w:tc>
          <w:tcPr>
            <w:tcW w:type="dxa" w:w="3120"/>
            <w:tcBorders>
              <w:top w:val="single" w:color="CCCCCC" w:sz="1"/>
              <w:left w:val="single" w:color="CCCCCC" w:sz="1"/>
              <w:bottom w:val="single" w:color="CCCCCC" w:sz="1"/>
              <w:right w:val="single" w:color="CCCCCC" w:sz="1"/>
            </w:tcBorders>
          </w:tcPr>
          <w:p>
            <w:r>
              <w:t xml:space="preserve">On-time Payments</w:t>
            </w:r>
          </w:p>
        </w:tc>
        <w:tc>
          <w:tcPr>
            <w:tcW w:type="dxa" w:w="6240"/>
            <w:tcBorders>
              <w:top w:val="single" w:color="CCCCCC" w:sz="1"/>
              <w:left w:val="single" w:color="CCCCCC" w:sz="1"/>
              <w:bottom w:val="single" w:color="CCCCCC" w:sz="1"/>
              <w:right w:val="single" w:color="CCCCCC" w:sz="1"/>
            </w:tcBorders>
          </w:tcPr>
          <w:p>
            <w:r>
              <w:t xml:space="preserve">Mean: 89.8% | Std: 7.8%</w:t>
            </w:r>
          </w:p>
        </w:tc>
      </w:tr>
      <w:tr>
        <w:tc>
          <w:tcPr>
            <w:tcW w:type="dxa" w:w="3120"/>
            <w:tcBorders>
              <w:top w:val="single" w:color="CCCCCC" w:sz="1"/>
              <w:left w:val="single" w:color="CCCCCC" w:sz="1"/>
              <w:bottom w:val="single" w:color="CCCCCC" w:sz="1"/>
              <w:right w:val="single" w:color="CCCCCC" w:sz="1"/>
            </w:tcBorders>
          </w:tcPr>
          <w:p>
            <w:r>
              <w:t xml:space="preserve">Historical Increases</w:t>
            </w:r>
          </w:p>
        </w:tc>
        <w:tc>
          <w:tcPr>
            <w:tcW w:type="dxa" w:w="6240"/>
            <w:tcBorders>
              <w:top w:val="single" w:color="CCCCCC" w:sz="1"/>
              <w:left w:val="single" w:color="CCCCCC" w:sz="1"/>
              <w:bottom w:val="single" w:color="CCCCCC" w:sz="1"/>
              <w:right w:val="single" w:color="CCCCCC" w:sz="1"/>
            </w:tcBorders>
          </w:tcPr>
          <w:p>
            <w:r>
              <w:t xml:space="preserve">44% received 0 increases | 56% received 3-5 increases</w:t>
            </w:r>
          </w:p>
        </w:tc>
      </w:tr>
    </w:tbl>
    <w:p>
      <w:pPr>
        <w:pStyle w:val="Heading2"/>
        <w:spacing w:before="240"/>
      </w:pPr>
      <w:r>
        <w:t xml:space="preserve">2.2 Feature Engineering</w:t>
      </w:r>
    </w:p>
    <w:p>
      <w:pPr>
        <w:spacing w:after="120"/>
      </w:pPr>
      <w:r>
        <w:t xml:space="preserve">Created advanced features to improve model performance:</w:t>
      </w:r>
    </w:p>
    <w:p>
      <w:pPr>
        <w:pStyle w:val="ListParagraph"/>
        <w:numPr>
          <w:ilvl w:val="0"/>
          <w:numId w:val="2"/>
        </w:numPr>
      </w:pPr>
      <w:r>
        <w:rPr>
          <w:b/>
          <w:bCs/>
        </w:rPr>
        <w:t xml:space="preserve">Risk Categories: </w:t>
      </w:r>
      <w:r>
        <w:t xml:space="preserve">Prime (≥95% payment), Near-Prime (85-94%), Sub-Prime (&lt;85%)</w:t>
      </w:r>
    </w:p>
    <w:p>
      <w:pPr>
        <w:pStyle w:val="ListParagraph"/>
        <w:numPr>
          <w:ilvl w:val="0"/>
          <w:numId w:val="2"/>
        </w:numPr>
      </w:pPr>
      <w:r>
        <w:rPr>
          <w:b/>
          <w:bCs/>
        </w:rPr>
        <w:t xml:space="preserve">Credit Score Proxy: </w:t>
      </w:r>
      <w:r>
        <w:t xml:space="preserve">Weighted composite of payment rate (60%), recency (20%), and loan size (20%)</w:t>
      </w:r>
    </w:p>
    <w:p>
      <w:pPr>
        <w:pStyle w:val="ListParagraph"/>
        <w:numPr>
          <w:ilvl w:val="0"/>
          <w:numId w:val="2"/>
        </w:numPr>
      </w:pPr>
      <w:r>
        <w:rPr>
          <w:b/>
          <w:bCs/>
        </w:rPr>
        <w:t xml:space="preserve">Interaction Features: </w:t>
      </w:r>
      <w:r>
        <w:t xml:space="preserve">Payment-Days interaction and Loan-Payment ratio</w:t>
      </w:r>
    </w:p>
    <w:p>
      <w:pPr>
        <w:pStyle w:val="Heading2"/>
        <w:spacing w:before="240"/>
      </w:pPr>
      <w:r>
        <w:t xml:space="preserve">2.3 Visual Analysis</w:t>
      </w:r>
    </w:p>
    <w:p>
      <w:pPr>
        <w:spacing w:before="120" w:after="120"/>
        <w:jc w:val="center"/>
      </w:pPr>
      <w:r>
        <w:drawing>
          <wp:inline distT="0" distB="0" distL="0" distR="0">
            <wp:extent cx="5715000" cy="3571875"/>
            <wp:effectExtent t="0" r="0" b="0" l="0"/>
            <wp:docPr id="1" name="Figure 1" descr="Comprehensive visual analysis of the dataset" title="Datas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571875"/>
                    </a:xfrm>
                    <a:prstGeom prst="rect">
                      <a:avLst/>
                    </a:prstGeom>
                  </pic:spPr>
                </pic:pic>
              </a:graphicData>
            </a:graphic>
          </wp:inline>
        </w:drawing>
      </w:r>
    </w:p>
    <w:p>
      <w:pPr>
        <w:spacing w:after="240"/>
        <w:jc w:val="center"/>
      </w:pPr>
      <w:r>
        <w:rPr>
          <w:i/>
          <w:iCs/>
          <w:sz w:val="20"/>
          <w:szCs w:val="20"/>
        </w:rPr>
        <w:t xml:space="preserve">Figure 1: Dataset Overview and Distribution Analysis</w:t>
      </w:r>
    </w:p>
    <w:p>
      <w:r>
        <w:br w:type="page"/>
      </w:r>
    </w:p>
    <w:p>
      <w:pPr>
        <w:pStyle w:val="Heading1"/>
      </w:pPr>
      <w:r>
        <w:t xml:space="preserve">3. Predictive Modeling</w:t>
      </w:r>
    </w:p>
    <w:p>
      <w:pPr>
        <w:pStyle w:val="Heading2"/>
      </w:pPr>
      <w:r>
        <w:t xml:space="preserve">3.1 Uptake Probability Model</w:t>
      </w:r>
    </w:p>
    <w:p>
      <w:pPr>
        <w:spacing w:after="120"/>
      </w:pPr>
      <w:r>
        <w:t xml:space="preserve">Three machine learning models were trained and evaluated to predict customer uptake of loan increases:</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3120"/>
        <w:gridCol w:w="3120"/>
        <w:gridCol w:w="3120"/>
      </w:tblGrid>
      <w:tr>
        <w:trPr>
          <w:tblHeader/>
        </w:trPr>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Model</w:t>
            </w:r>
          </w:p>
        </w:tc>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Accuracy</w:t>
            </w:r>
          </w:p>
        </w:tc>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AUC-ROC</w:t>
            </w:r>
          </w:p>
        </w:tc>
      </w:tr>
      <w:tr>
        <w:tc>
          <w:tcPr>
            <w:tcW w:type="dxa" w:w="3120"/>
            <w:tcBorders>
              <w:top w:val="single" w:color="CCCCCC" w:sz="1"/>
              <w:left w:val="single" w:color="CCCCCC" w:sz="1"/>
              <w:bottom w:val="single" w:color="CCCCCC" w:sz="1"/>
              <w:right w:val="single" w:color="CCCCCC" w:sz="1"/>
            </w:tcBorders>
          </w:tcPr>
          <w:p>
            <w:r>
              <w:t xml:space="preserve">Logistic Regression</w:t>
            </w:r>
          </w:p>
        </w:tc>
        <w:tc>
          <w:tcPr>
            <w:tcW w:type="dxa" w:w="3120"/>
            <w:tcBorders>
              <w:top w:val="single" w:color="CCCCCC" w:sz="1"/>
              <w:left w:val="single" w:color="CCCCCC" w:sz="1"/>
              <w:bottom w:val="single" w:color="CCCCCC" w:sz="1"/>
              <w:right w:val="single" w:color="CCCCCC" w:sz="1"/>
            </w:tcBorders>
          </w:tcPr>
          <w:p>
            <w:pPr>
              <w:jc w:val="center"/>
            </w:pPr>
            <w:r>
              <w:t xml:space="preserve">55.98%</w:t>
            </w:r>
          </w:p>
        </w:tc>
        <w:tc>
          <w:tcPr>
            <w:tcW w:type="dxa" w:w="3120"/>
            <w:tcBorders>
              <w:top w:val="single" w:color="CCCCCC" w:sz="1"/>
              <w:left w:val="single" w:color="CCCCCC" w:sz="1"/>
              <w:bottom w:val="single" w:color="CCCCCC" w:sz="1"/>
              <w:right w:val="single" w:color="CCCCCC" w:sz="1"/>
            </w:tcBorders>
          </w:tcPr>
          <w:p>
            <w:pPr>
              <w:jc w:val="center"/>
            </w:pPr>
            <w:r>
              <w:t xml:space="preserve">0.4953</w:t>
            </w:r>
          </w:p>
        </w:tc>
      </w:tr>
      <w:tr>
        <w:tc>
          <w:tcPr>
            <w:tcW w:type="dxa" w:w="3120"/>
            <w:tcBorders>
              <w:top w:val="single" w:color="CCCCCC" w:sz="1"/>
              <w:left w:val="single" w:color="CCCCCC" w:sz="1"/>
              <w:bottom w:val="single" w:color="CCCCCC" w:sz="1"/>
              <w:right w:val="single" w:color="CCCCCC" w:sz="1"/>
            </w:tcBorders>
          </w:tcPr>
          <w:p>
            <w:r>
              <w:t xml:space="preserve">Random Forest</w:t>
            </w:r>
          </w:p>
        </w:tc>
        <w:tc>
          <w:tcPr>
            <w:tcW w:type="dxa" w:w="3120"/>
            <w:tcBorders>
              <w:top w:val="single" w:color="CCCCCC" w:sz="1"/>
              <w:left w:val="single" w:color="CCCCCC" w:sz="1"/>
              <w:bottom w:val="single" w:color="CCCCCC" w:sz="1"/>
              <w:right w:val="single" w:color="CCCCCC" w:sz="1"/>
            </w:tcBorders>
          </w:tcPr>
          <w:p>
            <w:pPr>
              <w:jc w:val="center"/>
            </w:pPr>
            <w:r>
              <w:t xml:space="preserve">55.55%</w:t>
            </w:r>
          </w:p>
        </w:tc>
        <w:tc>
          <w:tcPr>
            <w:tcW w:type="dxa" w:w="3120"/>
            <w:tcBorders>
              <w:top w:val="single" w:color="CCCCCC" w:sz="1"/>
              <w:left w:val="single" w:color="CCCCCC" w:sz="1"/>
              <w:bottom w:val="single" w:color="CCCCCC" w:sz="1"/>
              <w:right w:val="single" w:color="CCCCCC" w:sz="1"/>
            </w:tcBorders>
          </w:tcPr>
          <w:p>
            <w:pPr>
              <w:jc w:val="center"/>
            </w:pPr>
            <w:r>
              <w:t xml:space="preserve">0.5017</w:t>
            </w:r>
          </w:p>
        </w:tc>
      </w:tr>
      <w:tr>
        <w:tc>
          <w:tcPr>
            <w:tcW w:type="dxa" w:w="3120"/>
            <w:tcBorders>
              <w:top w:val="single" w:color="CCCCCC" w:sz="1"/>
              <w:left w:val="single" w:color="CCCCCC" w:sz="1"/>
              <w:bottom w:val="single" w:color="CCCCCC" w:sz="1"/>
              <w:right w:val="single" w:color="CCCCCC" w:sz="1"/>
            </w:tcBorders>
          </w:tcPr>
          <w:p>
            <w:r>
              <w:rPr>
                <w:b/>
                <w:bCs/>
              </w:rPr>
              <w:t xml:space="preserve">Gradient Boosting</w:t>
            </w:r>
          </w:p>
        </w:tc>
        <w:tc>
          <w:tcPr>
            <w:tcW w:type="dxa" w:w="3120"/>
            <w:tcBorders>
              <w:top w:val="single" w:color="CCCCCC" w:sz="1"/>
              <w:left w:val="single" w:color="CCCCCC" w:sz="1"/>
              <w:bottom w:val="single" w:color="CCCCCC" w:sz="1"/>
              <w:right w:val="single" w:color="CCCCCC" w:sz="1"/>
            </w:tcBorders>
          </w:tcPr>
          <w:p>
            <w:pPr>
              <w:jc w:val="center"/>
            </w:pPr>
            <w:r>
              <w:rPr>
                <w:b/>
                <w:bCs/>
              </w:rPr>
              <w:t xml:space="preserve">55.17%</w:t>
            </w:r>
          </w:p>
        </w:tc>
        <w:tc>
          <w:tcPr>
            <w:tcW w:type="dxa" w:w="3120"/>
            <w:tcBorders>
              <w:top w:val="single" w:color="CCCCCC" w:sz="1"/>
              <w:left w:val="single" w:color="CCCCCC" w:sz="1"/>
              <w:bottom w:val="single" w:color="CCCCCC" w:sz="1"/>
              <w:right w:val="single" w:color="CCCCCC" w:sz="1"/>
            </w:tcBorders>
          </w:tcPr>
          <w:p>
            <w:pPr>
              <w:jc w:val="center"/>
            </w:pPr>
            <w:r>
              <w:rPr>
                <w:b/>
                <w:bCs/>
              </w:rPr>
              <w:t xml:space="preserve">0.5031</w:t>
            </w:r>
          </w:p>
        </w:tc>
      </w:tr>
    </w:tbl>
    <w:p>
      <w:pPr>
        <w:spacing w:before="120" w:after="120"/>
      </w:pPr>
      <w:r>
        <w:rPr>
          <w:b/>
          <w:bCs/>
        </w:rPr>
        <w:t xml:space="preserve">Selected Model: </w:t>
      </w:r>
      <w:r>
        <w:t xml:space="preserve">Gradient Boosting was selected as the best model based on AUC-ROC performance, providing probability estimates for customer uptake behavior.</w:t>
      </w:r>
    </w:p>
    <w:p>
      <w:pPr>
        <w:pStyle w:val="Heading2"/>
      </w:pPr>
      <w:r>
        <w:t xml:space="preserve">3.2 Default Risk Model</w:t>
      </w:r>
    </w:p>
    <w:p>
      <w:pPr>
        <w:spacing w:after="120"/>
      </w:pPr>
      <w:r>
        <w:t xml:space="preserve">A comprehensive default risk score was developed combining:</w:t>
      </w:r>
    </w:p>
    <w:p>
      <w:pPr>
        <w:pStyle w:val="ListParagraph"/>
        <w:numPr>
          <w:ilvl w:val="0"/>
          <w:numId w:val="2"/>
        </w:numPr>
      </w:pPr>
      <w:r>
        <w:t xml:space="preserve">Payment history (50% weight)</w:t>
      </w:r>
    </w:p>
    <w:p>
      <w:pPr>
        <w:pStyle w:val="ListParagraph"/>
        <w:numPr>
          <w:ilvl w:val="0"/>
          <w:numId w:val="2"/>
        </w:numPr>
      </w:pPr>
      <w:r>
        <w:t xml:space="preserve">Credit score proxy (30% weight)</w:t>
      </w:r>
    </w:p>
    <w:p>
      <w:pPr>
        <w:pStyle w:val="ListParagraph"/>
        <w:numPr>
          <w:ilvl w:val="0"/>
          <w:numId w:val="2"/>
        </w:numPr>
      </w:pPr>
      <w:r>
        <w:t xml:space="preserve">Loan size relative to portfolio (20% weight)</w:t>
      </w:r>
    </w:p>
    <w:p>
      <w:pPr>
        <w:spacing w:before="120" w:after="120"/>
      </w:pPr>
      <w:r>
        <w:t xml:space="preserve">Sigmoid transformation converts the risk score to probability, with adjustment for moral hazard (5% increase per historical loan increase).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3120"/>
        <w:gridCol w:w="3120"/>
        <w:gridCol w:w="3120"/>
      </w:tblGrid>
      <w:tr>
        <w:trPr>
          <w:tblHeader/>
        </w:trPr>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Risk Category</w:t>
            </w:r>
          </w:p>
        </w:tc>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Mean Default Prob.</w:t>
            </w:r>
          </w:p>
        </w:tc>
        <w:tc>
          <w:tcPr>
            <w:tcW w:type="dxa" w:w="3120"/>
            <w:tcBorders>
              <w:top w:val="single" w:color="CCCCCC" w:sz="1"/>
              <w:left w:val="single" w:color="CCCCCC" w:sz="1"/>
              <w:bottom w:val="single" w:color="CCCCCC" w:sz="1"/>
              <w:right w:val="single" w:color="CCCCCC" w:sz="1"/>
            </w:tcBorders>
            <w:shd w:fill="D5E8F0" w:val="clear"/>
          </w:tcPr>
          <w:p>
            <w:pPr>
              <w:jc w:val="center"/>
            </w:pPr>
            <w:r>
              <w:rPr>
                <w:b/>
                <w:bCs/>
              </w:rPr>
              <w:t xml:space="preserve">Customer Count</w:t>
            </w:r>
          </w:p>
        </w:tc>
      </w:tr>
      <w:tr>
        <w:tc>
          <w:tcPr>
            <w:tcW w:type="dxa" w:w="3120"/>
            <w:tcBorders>
              <w:top w:val="single" w:color="CCCCCC" w:sz="1"/>
              <w:left w:val="single" w:color="CCCCCC" w:sz="1"/>
              <w:bottom w:val="single" w:color="CCCCCC" w:sz="1"/>
              <w:right w:val="single" w:color="CCCCCC" w:sz="1"/>
            </w:tcBorders>
          </w:tcPr>
          <w:p>
            <w:r>
              <w:t xml:space="preserve">Prime</w:t>
            </w:r>
          </w:p>
        </w:tc>
        <w:tc>
          <w:tcPr>
            <w:tcW w:type="dxa" w:w="3120"/>
            <w:tcBorders>
              <w:top w:val="single" w:color="CCCCCC" w:sz="1"/>
              <w:left w:val="single" w:color="CCCCCC" w:sz="1"/>
              <w:bottom w:val="single" w:color="CCCCCC" w:sz="1"/>
              <w:right w:val="single" w:color="CCCCCC" w:sz="1"/>
            </w:tcBorders>
          </w:tcPr>
          <w:p>
            <w:pPr>
              <w:jc w:val="center"/>
            </w:pPr>
            <w:r>
              <w:t xml:space="preserve">4.42%</w:t>
            </w:r>
          </w:p>
        </w:tc>
        <w:tc>
          <w:tcPr>
            <w:tcW w:type="dxa" w:w="3120"/>
            <w:tcBorders>
              <w:top w:val="single" w:color="CCCCCC" w:sz="1"/>
              <w:left w:val="single" w:color="CCCCCC" w:sz="1"/>
              <w:bottom w:val="single" w:color="CCCCCC" w:sz="1"/>
              <w:right w:val="single" w:color="CCCCCC" w:sz="1"/>
            </w:tcBorders>
          </w:tcPr>
          <w:p>
            <w:pPr>
              <w:jc w:val="center"/>
            </w:pPr>
            <w:r>
              <w:t xml:space="preserve">7,520</w:t>
            </w:r>
          </w:p>
        </w:tc>
      </w:tr>
      <w:tr>
        <w:tc>
          <w:tcPr>
            <w:tcW w:type="dxa" w:w="3120"/>
            <w:tcBorders>
              <w:top w:val="single" w:color="CCCCCC" w:sz="1"/>
              <w:left w:val="single" w:color="CCCCCC" w:sz="1"/>
              <w:bottom w:val="single" w:color="CCCCCC" w:sz="1"/>
              <w:right w:val="single" w:color="CCCCCC" w:sz="1"/>
            </w:tcBorders>
          </w:tcPr>
          <w:p>
            <w:r>
              <w:t xml:space="preserve">Near-Prime</w:t>
            </w:r>
          </w:p>
        </w:tc>
        <w:tc>
          <w:tcPr>
            <w:tcW w:type="dxa" w:w="3120"/>
            <w:tcBorders>
              <w:top w:val="single" w:color="CCCCCC" w:sz="1"/>
              <w:left w:val="single" w:color="CCCCCC" w:sz="1"/>
              <w:bottom w:val="single" w:color="CCCCCC" w:sz="1"/>
              <w:right w:val="single" w:color="CCCCCC" w:sz="1"/>
            </w:tcBorders>
          </w:tcPr>
          <w:p>
            <w:pPr>
              <w:jc w:val="center"/>
            </w:pPr>
            <w:r>
              <w:t xml:space="preserve">7.13%</w:t>
            </w:r>
          </w:p>
        </w:tc>
        <w:tc>
          <w:tcPr>
            <w:tcW w:type="dxa" w:w="3120"/>
            <w:tcBorders>
              <w:top w:val="single" w:color="CCCCCC" w:sz="1"/>
              <w:left w:val="single" w:color="CCCCCC" w:sz="1"/>
              <w:bottom w:val="single" w:color="CCCCCC" w:sz="1"/>
              <w:right w:val="single" w:color="CCCCCC" w:sz="1"/>
            </w:tcBorders>
          </w:tcPr>
          <w:p>
            <w:pPr>
              <w:jc w:val="center"/>
            </w:pPr>
            <w:r>
              <w:t xml:space="preserve">15,103</w:t>
            </w:r>
          </w:p>
        </w:tc>
      </w:tr>
      <w:tr>
        <w:tc>
          <w:tcPr>
            <w:tcW w:type="dxa" w:w="3120"/>
            <w:tcBorders>
              <w:top w:val="single" w:color="CCCCCC" w:sz="1"/>
              <w:left w:val="single" w:color="CCCCCC" w:sz="1"/>
              <w:bottom w:val="single" w:color="CCCCCC" w:sz="1"/>
              <w:right w:val="single" w:color="CCCCCC" w:sz="1"/>
            </w:tcBorders>
          </w:tcPr>
          <w:p>
            <w:r>
              <w:t xml:space="preserve">Sub-Prime</w:t>
            </w:r>
          </w:p>
        </w:tc>
        <w:tc>
          <w:tcPr>
            <w:tcW w:type="dxa" w:w="3120"/>
            <w:tcBorders>
              <w:top w:val="single" w:color="CCCCCC" w:sz="1"/>
              <w:left w:val="single" w:color="CCCCCC" w:sz="1"/>
              <w:bottom w:val="single" w:color="CCCCCC" w:sz="1"/>
              <w:right w:val="single" w:color="CCCCCC" w:sz="1"/>
            </w:tcBorders>
          </w:tcPr>
          <w:p>
            <w:pPr>
              <w:jc w:val="center"/>
            </w:pPr>
            <w:r>
              <w:t xml:space="preserve">11.20%</w:t>
            </w:r>
          </w:p>
        </w:tc>
        <w:tc>
          <w:tcPr>
            <w:tcW w:type="dxa" w:w="3120"/>
            <w:tcBorders>
              <w:top w:val="single" w:color="CCCCCC" w:sz="1"/>
              <w:left w:val="single" w:color="CCCCCC" w:sz="1"/>
              <w:bottom w:val="single" w:color="CCCCCC" w:sz="1"/>
              <w:right w:val="single" w:color="CCCCCC" w:sz="1"/>
            </w:tcBorders>
          </w:tcPr>
          <w:p>
            <w:pPr>
              <w:jc w:val="center"/>
            </w:pPr>
            <w:r>
              <w:t xml:space="preserve">7,377</w:t>
            </w:r>
          </w:p>
        </w:tc>
      </w:tr>
    </w:tbl>
    <w:p>
      <w:pPr>
        <w:spacing w:before="240" w:after="120"/>
        <w:jc w:val="center"/>
      </w:pPr>
      <w:r>
        <w:drawing>
          <wp:inline distT="0" distB="0" distL="0" distR="0">
            <wp:extent cx="5715000" cy="3571875"/>
            <wp:effectExtent t="0" r="0" b="0" l="0"/>
            <wp:docPr id="1" name="Figure 2" descr="Model performance and risk analysis visualization" title="Mode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571875"/>
                    </a:xfrm>
                    <a:prstGeom prst="rect">
                      <a:avLst/>
                    </a:prstGeom>
                  </pic:spPr>
                </pic:pic>
              </a:graphicData>
            </a:graphic>
          </wp:inline>
        </w:drawing>
      </w:r>
    </w:p>
    <w:p>
      <w:pPr>
        <w:spacing w:after="240"/>
        <w:jc w:val="center"/>
      </w:pPr>
      <w:r>
        <w:rPr>
          <w:i/>
          <w:iCs/>
          <w:sz w:val="20"/>
          <w:szCs w:val="20"/>
        </w:rPr>
        <w:t xml:space="preserve">Figure 2: Model Performance and Risk Analysis</w:t>
      </w:r>
    </w:p>
    <w:p>
      <w:r>
        <w:br w:type="page"/>
      </w:r>
    </w:p>
    <w:p>
      <w:pPr>
        <w:pStyle w:val="Heading1"/>
      </w:pPr>
      <w:r>
        <w:t xml:space="preserve">4. Markov Chain Risk Transition Model</w:t>
      </w:r>
    </w:p>
    <w:p>
      <w:pPr>
        <w:spacing w:after="120"/>
      </w:pPr>
      <w:r>
        <w:t xml:space="preserve">A discrete-time Markov chain models customer transitions between risk states over time, capturing dynamic credit quality changes based on payment behavior and external factors.</w:t>
      </w:r>
    </w:p>
    <w:p>
      <w:pPr>
        <w:pStyle w:val="Heading2"/>
      </w:pPr>
      <w:r>
        <w:t xml:space="preserve">4.1 Transition Matrix</w:t>
      </w:r>
    </w:p>
    <w:p>
      <w:pPr>
        <w:spacing w:after="120"/>
      </w:pPr>
      <w:r>
        <w:t xml:space="preserve">The transition probability matrix represents quarterly state transitions:</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2340"/>
        <w:gridCol w:w="2340"/>
        <w:gridCol w:w="2340"/>
        <w:gridCol w:w="2340"/>
      </w:tblGrid>
      <w:tr>
        <w:trPr>
          <w:tblHeader/>
        </w:trPr>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From/To</w:t>
            </w:r>
          </w:p>
        </w:tc>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Prime</w:t>
            </w:r>
          </w:p>
        </w:tc>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Near-Prime</w:t>
            </w:r>
          </w:p>
        </w:tc>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Sub-Prime</w:t>
            </w:r>
          </w:p>
        </w:tc>
      </w:tr>
      <w:tr>
        <w:tc>
          <w:tcPr>
            <w:tcW w:type="dxa" w:w="2340"/>
            <w:tcBorders>
              <w:top w:val="single" w:color="CCCCCC" w:sz="1"/>
              <w:left w:val="single" w:color="CCCCCC" w:sz="1"/>
              <w:bottom w:val="single" w:color="CCCCCC" w:sz="1"/>
              <w:right w:val="single" w:color="CCCCCC" w:sz="1"/>
            </w:tcBorders>
          </w:tcPr>
          <w:p>
            <w:r>
              <w:rPr>
                <w:b/>
                <w:bCs/>
              </w:rPr>
              <w:t xml:space="preserve">Prime</w:t>
            </w:r>
          </w:p>
        </w:tc>
        <w:tc>
          <w:tcPr>
            <w:tcW w:type="dxa" w:w="2340"/>
            <w:tcBorders>
              <w:top w:val="single" w:color="CCCCCC" w:sz="1"/>
              <w:left w:val="single" w:color="CCCCCC" w:sz="1"/>
              <w:bottom w:val="single" w:color="CCCCCC" w:sz="1"/>
              <w:right w:val="single" w:color="CCCCCC" w:sz="1"/>
            </w:tcBorders>
          </w:tcPr>
          <w:p>
            <w:pPr>
              <w:jc w:val="center"/>
            </w:pPr>
            <w:r>
              <w:t xml:space="preserve">0.85</w:t>
            </w:r>
          </w:p>
        </w:tc>
        <w:tc>
          <w:tcPr>
            <w:tcW w:type="dxa" w:w="2340"/>
            <w:tcBorders>
              <w:top w:val="single" w:color="CCCCCC" w:sz="1"/>
              <w:left w:val="single" w:color="CCCCCC" w:sz="1"/>
              <w:bottom w:val="single" w:color="CCCCCC" w:sz="1"/>
              <w:right w:val="single" w:color="CCCCCC" w:sz="1"/>
            </w:tcBorders>
          </w:tcPr>
          <w:p>
            <w:pPr>
              <w:jc w:val="center"/>
            </w:pPr>
            <w:r>
              <w:t xml:space="preserve">0.12</w:t>
            </w:r>
          </w:p>
        </w:tc>
        <w:tc>
          <w:tcPr>
            <w:tcW w:type="dxa" w:w="2340"/>
            <w:tcBorders>
              <w:top w:val="single" w:color="CCCCCC" w:sz="1"/>
              <w:left w:val="single" w:color="CCCCCC" w:sz="1"/>
              <w:bottom w:val="single" w:color="CCCCCC" w:sz="1"/>
              <w:right w:val="single" w:color="CCCCCC" w:sz="1"/>
            </w:tcBorders>
          </w:tcPr>
          <w:p>
            <w:pPr>
              <w:jc w:val="center"/>
            </w:pPr>
            <w:r>
              <w:t xml:space="preserve">0.03</w:t>
            </w:r>
          </w:p>
        </w:tc>
      </w:tr>
      <w:tr>
        <w:tc>
          <w:tcPr>
            <w:tcW w:type="dxa" w:w="2340"/>
            <w:tcBorders>
              <w:top w:val="single" w:color="CCCCCC" w:sz="1"/>
              <w:left w:val="single" w:color="CCCCCC" w:sz="1"/>
              <w:bottom w:val="single" w:color="CCCCCC" w:sz="1"/>
              <w:right w:val="single" w:color="CCCCCC" w:sz="1"/>
            </w:tcBorders>
          </w:tcPr>
          <w:p>
            <w:r>
              <w:rPr>
                <w:b/>
                <w:bCs/>
              </w:rPr>
              <w:t xml:space="preserve">Near-Prime</w:t>
            </w:r>
          </w:p>
        </w:tc>
        <w:tc>
          <w:tcPr>
            <w:tcW w:type="dxa" w:w="2340"/>
            <w:tcBorders>
              <w:top w:val="single" w:color="CCCCCC" w:sz="1"/>
              <w:left w:val="single" w:color="CCCCCC" w:sz="1"/>
              <w:bottom w:val="single" w:color="CCCCCC" w:sz="1"/>
              <w:right w:val="single" w:color="CCCCCC" w:sz="1"/>
            </w:tcBorders>
          </w:tcPr>
          <w:p>
            <w:pPr>
              <w:jc w:val="center"/>
            </w:pPr>
            <w:r>
              <w:t xml:space="preserve">0.15</w:t>
            </w:r>
          </w:p>
        </w:tc>
        <w:tc>
          <w:tcPr>
            <w:tcW w:type="dxa" w:w="2340"/>
            <w:tcBorders>
              <w:top w:val="single" w:color="CCCCCC" w:sz="1"/>
              <w:left w:val="single" w:color="CCCCCC" w:sz="1"/>
              <w:bottom w:val="single" w:color="CCCCCC" w:sz="1"/>
              <w:right w:val="single" w:color="CCCCCC" w:sz="1"/>
            </w:tcBorders>
          </w:tcPr>
          <w:p>
            <w:pPr>
              <w:jc w:val="center"/>
            </w:pPr>
            <w:r>
              <w:t xml:space="preserve">0.70</w:t>
            </w:r>
          </w:p>
        </w:tc>
        <w:tc>
          <w:tcPr>
            <w:tcW w:type="dxa" w:w="2340"/>
            <w:tcBorders>
              <w:top w:val="single" w:color="CCCCCC" w:sz="1"/>
              <w:left w:val="single" w:color="CCCCCC" w:sz="1"/>
              <w:bottom w:val="single" w:color="CCCCCC" w:sz="1"/>
              <w:right w:val="single" w:color="CCCCCC" w:sz="1"/>
            </w:tcBorders>
          </w:tcPr>
          <w:p>
            <w:pPr>
              <w:jc w:val="center"/>
            </w:pPr>
            <w:r>
              <w:t xml:space="preserve">0.15</w:t>
            </w:r>
          </w:p>
        </w:tc>
      </w:tr>
      <w:tr>
        <w:tc>
          <w:tcPr>
            <w:tcW w:type="dxa" w:w="2340"/>
            <w:tcBorders>
              <w:top w:val="single" w:color="CCCCCC" w:sz="1"/>
              <w:left w:val="single" w:color="CCCCCC" w:sz="1"/>
              <w:bottom w:val="single" w:color="CCCCCC" w:sz="1"/>
              <w:right w:val="single" w:color="CCCCCC" w:sz="1"/>
            </w:tcBorders>
          </w:tcPr>
          <w:p>
            <w:r>
              <w:rPr>
                <w:b/>
                <w:bCs/>
              </w:rPr>
              <w:t xml:space="preserve">Sub-Prime</w:t>
            </w:r>
          </w:p>
        </w:tc>
        <w:tc>
          <w:tcPr>
            <w:tcW w:type="dxa" w:w="2340"/>
            <w:tcBorders>
              <w:top w:val="single" w:color="CCCCCC" w:sz="1"/>
              <w:left w:val="single" w:color="CCCCCC" w:sz="1"/>
              <w:bottom w:val="single" w:color="CCCCCC" w:sz="1"/>
              <w:right w:val="single" w:color="CCCCCC" w:sz="1"/>
            </w:tcBorders>
          </w:tcPr>
          <w:p>
            <w:pPr>
              <w:jc w:val="center"/>
            </w:pPr>
            <w:r>
              <w:t xml:space="preserve">0.05</w:t>
            </w:r>
          </w:p>
        </w:tc>
        <w:tc>
          <w:tcPr>
            <w:tcW w:type="dxa" w:w="2340"/>
            <w:tcBorders>
              <w:top w:val="single" w:color="CCCCCC" w:sz="1"/>
              <w:left w:val="single" w:color="CCCCCC" w:sz="1"/>
              <w:bottom w:val="single" w:color="CCCCCC" w:sz="1"/>
              <w:right w:val="single" w:color="CCCCCC" w:sz="1"/>
            </w:tcBorders>
          </w:tcPr>
          <w:p>
            <w:pPr>
              <w:jc w:val="center"/>
            </w:pPr>
            <w:r>
              <w:t xml:space="preserve">0.25</w:t>
            </w:r>
          </w:p>
        </w:tc>
        <w:tc>
          <w:tcPr>
            <w:tcW w:type="dxa" w:w="2340"/>
            <w:tcBorders>
              <w:top w:val="single" w:color="CCCCCC" w:sz="1"/>
              <w:left w:val="single" w:color="CCCCCC" w:sz="1"/>
              <w:bottom w:val="single" w:color="CCCCCC" w:sz="1"/>
              <w:right w:val="single" w:color="CCCCCC" w:sz="1"/>
            </w:tcBorders>
          </w:tcPr>
          <w:p>
            <w:pPr>
              <w:jc w:val="center"/>
            </w:pPr>
            <w:r>
              <w:t xml:space="preserve">0.70</w:t>
            </w:r>
          </w:p>
        </w:tc>
      </w:tr>
    </w:tbl>
    <w:p>
      <w:pPr>
        <w:pStyle w:val="Heading2"/>
        <w:spacing w:before="240"/>
      </w:pPr>
      <w:r>
        <w:t xml:space="preserve">4.2 Steady-State Distribution</w:t>
      </w:r>
    </w:p>
    <w:p>
      <w:pPr>
        <w:spacing w:after="120"/>
      </w:pPr>
      <w:r>
        <w:t xml:space="preserve">Long-term portfolio composition converges to:</w:t>
      </w:r>
    </w:p>
    <w:p>
      <w:pPr>
        <w:pStyle w:val="ListParagraph"/>
        <w:numPr>
          <w:ilvl w:val="0"/>
          <w:numId w:val="2"/>
        </w:numPr>
      </w:pPr>
      <w:r>
        <w:t xml:space="preserve">Prime: 42.68%</w:t>
      </w:r>
    </w:p>
    <w:p>
      <w:pPr>
        <w:pStyle w:val="ListParagraph"/>
        <w:numPr>
          <w:ilvl w:val="0"/>
          <w:numId w:val="2"/>
        </w:numPr>
      </w:pPr>
      <w:r>
        <w:t xml:space="preserve">Near-Prime: 35.37%</w:t>
      </w:r>
    </w:p>
    <w:p>
      <w:pPr>
        <w:pStyle w:val="ListParagraph"/>
        <w:numPr>
          <w:ilvl w:val="0"/>
          <w:numId w:val="2"/>
        </w:numPr>
      </w:pPr>
      <w:r>
        <w:t xml:space="preserve">Sub-Prime: 21.95%</w:t>
      </w:r>
    </w:p>
    <w:p>
      <w:r>
        <w:br w:type="page"/>
      </w:r>
    </w:p>
    <w:p>
      <w:pPr>
        <w:pStyle w:val="Heading1"/>
      </w:pPr>
      <w:r>
        <w:t xml:space="preserve">5. Optimization Model</w:t>
      </w:r>
    </w:p>
    <w:p>
      <w:pPr>
        <w:pStyle w:val="Heading2"/>
      </w:pPr>
      <w:r>
        <w:t xml:space="preserve">5.1 Mathematical Formulation</w:t>
      </w:r>
    </w:p>
    <w:p>
      <w:pPr>
        <w:spacing w:after="120"/>
      </w:pPr>
      <w:r>
        <w:rPr>
          <w:b/>
          <w:bCs/>
        </w:rPr>
        <w:t xml:space="preserve">Objective Function:</w:t>
      </w:r>
    </w:p>
    <w:p>
      <w:pPr>
        <w:spacing w:after="120"/>
      </w:pPr>
      <w:r>
        <w:t xml:space="preserve">Maximize: E[Total Profit] = Σ(P_uptake × (1 - P_default) × Profit - P_uptake × P_default × Loss) × n_increases</w:t>
      </w:r>
    </w:p>
    <w:p>
      <w:pPr>
        <w:spacing w:before="120" w:after="120"/>
      </w:pPr>
      <w:r>
        <w:rPr>
          <w:b/>
          <w:bCs/>
        </w:rPr>
        <w:t xml:space="preserve">Subject to Constraints:</w:t>
      </w:r>
    </w:p>
    <w:p>
      <w:pPr>
        <w:pStyle w:val="ListParagraph"/>
        <w:numPr>
          <w:ilvl w:val="0"/>
          <w:numId w:val="3"/>
        </w:numPr>
      </w:pPr>
      <w:r>
        <w:t xml:space="preserve">Eligibility: Days since last loan ≥ 60</w:t>
      </w:r>
    </w:p>
    <w:p>
      <w:pPr>
        <w:pStyle w:val="ListParagraph"/>
        <w:numPr>
          <w:ilvl w:val="0"/>
          <w:numId w:val="3"/>
        </w:numPr>
      </w:pPr>
      <w:r>
        <w:t xml:space="preserve">Maximum increases: n_increases ≤ 6 per customer per year</w:t>
      </w:r>
    </w:p>
    <w:p>
      <w:pPr>
        <w:pStyle w:val="ListParagraph"/>
        <w:numPr>
          <w:ilvl w:val="0"/>
          <w:numId w:val="3"/>
        </w:numPr>
      </w:pPr>
      <w:r>
        <w:t xml:space="preserve">Risk constraint: High-risk approvals ≤ 25% of total approvals</w:t>
      </w:r>
    </w:p>
    <w:p>
      <w:pPr>
        <w:pStyle w:val="ListParagraph"/>
        <w:numPr>
          <w:ilvl w:val="0"/>
          <w:numId w:val="3"/>
        </w:numPr>
      </w:pPr>
      <w:r>
        <w:t xml:space="preserve">Positive expected value: E[Profit] &gt; 0</w:t>
      </w:r>
    </w:p>
    <w:p>
      <w:pPr>
        <w:pStyle w:val="ListParagraph"/>
        <w:numPr>
          <w:ilvl w:val="0"/>
          <w:numId w:val="3"/>
        </w:numPr>
      </w:pPr>
      <w:r>
        <w:t xml:space="preserve">Capital constraint: Total exposure ≤ C (optional)</w:t>
      </w:r>
    </w:p>
    <w:p>
      <w:pPr>
        <w:pStyle w:val="Heading2"/>
        <w:spacing w:before="240"/>
      </w:pPr>
      <w:r>
        <w:t xml:space="preserve">5.2 Solution Approach</w:t>
      </w:r>
    </w:p>
    <w:p>
      <w:pPr>
        <w:spacing w:after="120"/>
      </w:pPr>
      <w:r>
        <w:t xml:space="preserve">A greedy allocation algorithm with multi-constraint satisfaction:</w:t>
      </w:r>
    </w:p>
    <w:p>
      <w:pPr>
        <w:pStyle w:val="ListParagraph"/>
        <w:numPr>
          <w:ilvl w:val="0"/>
          <w:numId w:val="3"/>
        </w:numPr>
      </w:pPr>
      <w:r>
        <w:t xml:space="preserve">Calculate expected value for each eligible customer</w:t>
      </w:r>
    </w:p>
    <w:p>
      <w:pPr>
        <w:pStyle w:val="ListParagraph"/>
        <w:numPr>
          <w:ilvl w:val="0"/>
          <w:numId w:val="3"/>
        </w:numPr>
      </w:pPr>
      <w:r>
        <w:t xml:space="preserve">Compute risk-adjusted score: EV × (1 - P_default) × P_uptake</w:t>
      </w:r>
    </w:p>
    <w:p>
      <w:pPr>
        <w:pStyle w:val="ListParagraph"/>
        <w:numPr>
          <w:ilvl w:val="0"/>
          <w:numId w:val="3"/>
        </w:numPr>
      </w:pPr>
      <w:r>
        <w:t xml:space="preserve">Sort customers by risk-adjusted score (descending)</w:t>
      </w:r>
    </w:p>
    <w:p>
      <w:pPr>
        <w:pStyle w:val="ListParagraph"/>
        <w:numPr>
          <w:ilvl w:val="0"/>
          <w:numId w:val="3"/>
        </w:numPr>
      </w:pPr>
      <w:r>
        <w:t xml:space="preserve">Allocate increases while satisfying all constraints</w:t>
      </w:r>
    </w:p>
    <w:p>
      <w:pPr>
        <w:pStyle w:val="ListParagraph"/>
        <w:numPr>
          <w:ilvl w:val="0"/>
          <w:numId w:val="3"/>
        </w:numPr>
      </w:pPr>
      <w:r>
        <w:t xml:space="preserve">Determine optimal number of increases per customer (1-6)</w:t>
      </w:r>
    </w:p>
    <w:p>
      <w:pPr>
        <w:pStyle w:val="Heading2"/>
        <w:spacing w:before="240"/>
      </w:pPr>
      <w:r>
        <w:t xml:space="preserve">5.3 Optimization Results</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4680"/>
        <w:gridCol w:w="4680"/>
      </w:tblGrid>
      <w:tr>
        <w:trPr>
          <w:tblHeader/>
        </w:trPr>
        <w:tc>
          <w:tcPr>
            <w:tcW w:type="dxa" w:w="4680"/>
            <w:tcBorders>
              <w:top w:val="single" w:color="CCCCCC" w:sz="1"/>
              <w:left w:val="single" w:color="CCCCCC" w:sz="1"/>
              <w:bottom w:val="single" w:color="CCCCCC" w:sz="1"/>
              <w:right w:val="single" w:color="CCCCCC" w:sz="1"/>
            </w:tcBorders>
            <w:shd w:fill="D5E8F0" w:val="clear"/>
          </w:tcPr>
          <w:p>
            <w:pPr>
              <w:jc w:val="center"/>
            </w:pPr>
            <w:r>
              <w:rPr>
                <w:b/>
                <w:bCs/>
              </w:rPr>
              <w:t xml:space="preserve">Metric</w:t>
            </w:r>
          </w:p>
        </w:tc>
        <w:tc>
          <w:tcPr>
            <w:tcW w:type="dxa" w:w="4680"/>
            <w:tcBorders>
              <w:top w:val="single" w:color="CCCCCC" w:sz="1"/>
              <w:left w:val="single" w:color="CCCCCC" w:sz="1"/>
              <w:bottom w:val="single" w:color="CCCCCC" w:sz="1"/>
              <w:right w:val="single" w:color="CCCCCC" w:sz="1"/>
            </w:tcBorders>
            <w:shd w:fill="D5E8F0" w:val="clear"/>
          </w:tcPr>
          <w:p>
            <w:pPr>
              <w:jc w:val="center"/>
            </w:pPr>
            <w:r>
              <w:rPr>
                <w:b/>
                <w:bCs/>
              </w:rPr>
              <w:t xml:space="preserve">Value</w:t>
            </w:r>
          </w:p>
        </w:tc>
      </w:tr>
      <w:tr>
        <w:tc>
          <w:tcPr>
            <w:tcW w:type="dxa" w:w="4680"/>
            <w:tcBorders>
              <w:top w:val="single" w:color="CCCCCC" w:sz="1"/>
              <w:left w:val="single" w:color="CCCCCC" w:sz="1"/>
              <w:bottom w:val="single" w:color="CCCCCC" w:sz="1"/>
              <w:right w:val="single" w:color="CCCCCC" w:sz="1"/>
            </w:tcBorders>
          </w:tcPr>
          <w:p>
            <w:r>
              <w:t xml:space="preserve">Total Eligible Customers</w:t>
            </w:r>
          </w:p>
        </w:tc>
        <w:tc>
          <w:tcPr>
            <w:tcW w:type="dxa" w:w="4680"/>
            <w:tcBorders>
              <w:top w:val="single" w:color="CCCCCC" w:sz="1"/>
              <w:left w:val="single" w:color="CCCCCC" w:sz="1"/>
              <w:bottom w:val="single" w:color="CCCCCC" w:sz="1"/>
              <w:right w:val="single" w:color="CCCCCC" w:sz="1"/>
            </w:tcBorders>
          </w:tcPr>
          <w:p>
            <w:pPr>
              <w:jc w:val="center"/>
            </w:pPr>
            <w:r>
              <w:t xml:space="preserve">25,068</w:t>
            </w:r>
          </w:p>
        </w:tc>
      </w:tr>
      <w:tr>
        <w:tc>
          <w:tcPr>
            <w:tcW w:type="dxa" w:w="4680"/>
            <w:tcBorders>
              <w:top w:val="single" w:color="CCCCCC" w:sz="1"/>
              <w:left w:val="single" w:color="CCCCCC" w:sz="1"/>
              <w:bottom w:val="single" w:color="CCCCCC" w:sz="1"/>
              <w:right w:val="single" w:color="CCCCCC" w:sz="1"/>
            </w:tcBorders>
          </w:tcPr>
          <w:p>
            <w:r>
              <w:t xml:space="preserve">Approved for Increases</w:t>
            </w:r>
          </w:p>
        </w:tc>
        <w:tc>
          <w:tcPr>
            <w:tcW w:type="dxa" w:w="4680"/>
            <w:tcBorders>
              <w:top w:val="single" w:color="CCCCCC" w:sz="1"/>
              <w:left w:val="single" w:color="CCCCCC" w:sz="1"/>
              <w:bottom w:val="single" w:color="CCCCCC" w:sz="1"/>
              <w:right w:val="single" w:color="CCCCCC" w:sz="1"/>
            </w:tcBorders>
          </w:tcPr>
          <w:p>
            <w:pPr>
              <w:jc w:val="center"/>
            </w:pPr>
            <w:r>
              <w:rPr>
                <w:b/>
                <w:bCs/>
              </w:rPr>
              <w:t xml:space="preserve">5,839 (23.3%)</w:t>
            </w:r>
          </w:p>
        </w:tc>
      </w:tr>
      <w:tr>
        <w:tc>
          <w:tcPr>
            <w:tcW w:type="dxa" w:w="4680"/>
            <w:tcBorders>
              <w:top w:val="single" w:color="CCCCCC" w:sz="1"/>
              <w:left w:val="single" w:color="CCCCCC" w:sz="1"/>
              <w:bottom w:val="single" w:color="CCCCCC" w:sz="1"/>
              <w:right w:val="single" w:color="CCCCCC" w:sz="1"/>
            </w:tcBorders>
          </w:tcPr>
          <w:p>
            <w:r>
              <w:t xml:space="preserve">Total Expected Value</w:t>
            </w:r>
          </w:p>
        </w:tc>
        <w:tc>
          <w:tcPr>
            <w:tcW w:type="dxa" w:w="4680"/>
            <w:tcBorders>
              <w:top w:val="single" w:color="CCCCCC" w:sz="1"/>
              <w:left w:val="single" w:color="CCCCCC" w:sz="1"/>
              <w:bottom w:val="single" w:color="CCCCCC" w:sz="1"/>
              <w:right w:val="single" w:color="CCCCCC" w:sz="1"/>
            </w:tcBorders>
          </w:tcPr>
          <w:p>
            <w:pPr>
              <w:jc w:val="center"/>
            </w:pPr>
            <w:r>
              <w:rPr>
                <w:b/>
                <w:bCs/>
              </w:rPr>
              <w:t xml:space="preserve">$214,251</w:t>
            </w:r>
          </w:p>
        </w:tc>
      </w:tr>
      <w:tr>
        <w:tc>
          <w:tcPr>
            <w:tcW w:type="dxa" w:w="4680"/>
            <w:tcBorders>
              <w:top w:val="single" w:color="CCCCCC" w:sz="1"/>
              <w:left w:val="single" w:color="CCCCCC" w:sz="1"/>
              <w:bottom w:val="single" w:color="CCCCCC" w:sz="1"/>
              <w:right w:val="single" w:color="CCCCCC" w:sz="1"/>
            </w:tcBorders>
          </w:tcPr>
          <w:p>
            <w:r>
              <w:t xml:space="preserve">Total Capital Exposure</w:t>
            </w:r>
          </w:p>
        </w:tc>
        <w:tc>
          <w:tcPr>
            <w:tcW w:type="dxa" w:w="4680"/>
            <w:tcBorders>
              <w:top w:val="single" w:color="CCCCCC" w:sz="1"/>
              <w:left w:val="single" w:color="CCCCCC" w:sz="1"/>
              <w:bottom w:val="single" w:color="CCCCCC" w:sz="1"/>
              <w:right w:val="single" w:color="CCCCCC" w:sz="1"/>
            </w:tcBorders>
          </w:tcPr>
          <w:p>
            <w:pPr>
              <w:jc w:val="center"/>
            </w:pPr>
            <w:r>
              <w:t xml:space="preserve">$12,941,473</w:t>
            </w:r>
          </w:p>
        </w:tc>
      </w:tr>
      <w:tr>
        <w:tc>
          <w:tcPr>
            <w:tcW w:type="dxa" w:w="4680"/>
            <w:tcBorders>
              <w:top w:val="single" w:color="CCCCCC" w:sz="1"/>
              <w:left w:val="single" w:color="CCCCCC" w:sz="1"/>
              <w:bottom w:val="single" w:color="CCCCCC" w:sz="1"/>
              <w:right w:val="single" w:color="CCCCCC" w:sz="1"/>
            </w:tcBorders>
          </w:tcPr>
          <w:p>
            <w:r>
              <w:t xml:space="preserve">High-Risk Customers Approved</w:t>
            </w:r>
          </w:p>
        </w:tc>
        <w:tc>
          <w:tcPr>
            <w:tcW w:type="dxa" w:w="4680"/>
            <w:tcBorders>
              <w:top w:val="single" w:color="CCCCCC" w:sz="1"/>
              <w:left w:val="single" w:color="CCCCCC" w:sz="1"/>
              <w:bottom w:val="single" w:color="CCCCCC" w:sz="1"/>
              <w:right w:val="single" w:color="CCCCCC" w:sz="1"/>
            </w:tcBorders>
          </w:tcPr>
          <w:p>
            <w:pPr>
              <w:jc w:val="center"/>
            </w:pPr>
            <w:r>
              <w:t xml:space="preserve">699 (12.0%)</w:t>
            </w:r>
          </w:p>
        </w:tc>
      </w:tr>
    </w:tbl>
    <w:p>
      <w:pPr>
        <w:spacing w:before="240" w:after="120"/>
        <w:jc w:val="center"/>
      </w:pPr>
      <w:r>
        <w:drawing>
          <wp:inline distT="0" distB="0" distL="0" distR="0">
            <wp:extent cx="5715000" cy="2857500"/>
            <wp:effectExtent t="0" r="0" b="0" l="0"/>
            <wp:docPr id="1" name="Figure 4" descr="Optimization strategy results and customer distribution" title="Optimization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2857500"/>
                    </a:xfrm>
                    <a:prstGeom prst="rect">
                      <a:avLst/>
                    </a:prstGeom>
                  </pic:spPr>
                </pic:pic>
              </a:graphicData>
            </a:graphic>
          </wp:inline>
        </w:drawing>
      </w:r>
    </w:p>
    <w:p>
      <w:pPr>
        <w:spacing w:after="240"/>
        <w:jc w:val="center"/>
      </w:pPr>
      <w:r>
        <w:rPr>
          <w:i/>
          <w:iCs/>
          <w:sz w:val="20"/>
          <w:szCs w:val="20"/>
        </w:rPr>
        <w:t xml:space="preserve">Figure 4: Optimization Strategy Results</w:t>
      </w:r>
    </w:p>
    <w:p>
      <w:r>
        <w:br w:type="page"/>
      </w:r>
    </w:p>
    <w:p>
      <w:pPr>
        <w:pStyle w:val="Heading1"/>
      </w:pPr>
      <w:r>
        <w:t xml:space="preserve">6. Monte Carlo Simulation</w:t>
      </w:r>
    </w:p>
    <w:p>
      <w:pPr>
        <w:pStyle w:val="Heading2"/>
      </w:pPr>
      <w:r>
        <w:t xml:space="preserve">6.1 Simulation Design</w:t>
      </w:r>
    </w:p>
    <w:p>
      <w:pPr>
        <w:spacing w:after="120"/>
      </w:pPr>
      <w:r>
        <w:t xml:space="preserve">A stochastic loan lifecycle simulation evaluates long-term profitability over 4 quarters with:</w:t>
      </w:r>
    </w:p>
    <w:p>
      <w:pPr>
        <w:pStyle w:val="ListParagraph"/>
        <w:numPr>
          <w:ilvl w:val="0"/>
          <w:numId w:val="2"/>
        </w:numPr>
      </w:pPr>
      <w:r>
        <w:t xml:space="preserve">1,000 sampled customers × 100 simulations per customer = 100,000 scenarios</w:t>
      </w:r>
    </w:p>
    <w:p>
      <w:pPr>
        <w:pStyle w:val="ListParagraph"/>
        <w:numPr>
          <w:ilvl w:val="0"/>
          <w:numId w:val="2"/>
        </w:numPr>
      </w:pPr>
      <w:r>
        <w:t xml:space="preserve">Dynamic risk state transitions using Markov chain probabilities</w:t>
      </w:r>
    </w:p>
    <w:p>
      <w:pPr>
        <w:pStyle w:val="ListParagraph"/>
        <w:numPr>
          <w:ilvl w:val="0"/>
          <w:numId w:val="2"/>
        </w:numPr>
      </w:pPr>
      <w:r>
        <w:t xml:space="preserve">Stochastic uptake and default events based on customer profiles</w:t>
      </w:r>
    </w:p>
    <w:p>
      <w:pPr>
        <w:pStyle w:val="ListParagraph"/>
        <w:numPr>
          <w:ilvl w:val="0"/>
          <w:numId w:val="2"/>
        </w:numPr>
      </w:pPr>
      <w:r>
        <w:t xml:space="preserve">Risk-adjusted default probabilities (Prime: 0.8×, Near-Prime: 1.0×, Sub-Prime: 1.3×)</w:t>
      </w:r>
    </w:p>
    <w:p>
      <w:pPr>
        <w:pStyle w:val="Heading2"/>
        <w:spacing w:before="240"/>
      </w:pPr>
      <w:r>
        <w:t xml:space="preserve">6.2 Simulation Results</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2340"/>
        <w:gridCol w:w="2340"/>
        <w:gridCol w:w="2340"/>
        <w:gridCol w:w="2340"/>
      </w:tblGrid>
      <w:tr>
        <w:trPr>
          <w:tblHeader/>
        </w:trPr>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Risk Category</w:t>
            </w:r>
          </w:p>
        </w:tc>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Mean Net Value</w:t>
            </w:r>
          </w:p>
        </w:tc>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Avg Defaults</w:t>
            </w:r>
          </w:p>
        </w:tc>
        <w:tc>
          <w:tcPr>
            <w:tcW w:type="dxa" w:w="2340"/>
            <w:tcBorders>
              <w:top w:val="single" w:color="CCCCCC" w:sz="1"/>
              <w:left w:val="single" w:color="CCCCCC" w:sz="1"/>
              <w:bottom w:val="single" w:color="CCCCCC" w:sz="1"/>
              <w:right w:val="single" w:color="CCCCCC" w:sz="1"/>
            </w:tcBorders>
            <w:shd w:fill="D5E8F0" w:val="clear"/>
          </w:tcPr>
          <w:p>
            <w:pPr>
              <w:jc w:val="center"/>
            </w:pPr>
            <w:r>
              <w:rPr>
                <w:b/>
                <w:bCs/>
              </w:rPr>
              <w:t xml:space="preserve">Avg Increases</w:t>
            </w:r>
          </w:p>
        </w:tc>
      </w:tr>
      <w:tr>
        <w:tc>
          <w:tcPr>
            <w:tcW w:type="dxa" w:w="2340"/>
            <w:tcBorders>
              <w:top w:val="single" w:color="CCCCCC" w:sz="1"/>
              <w:left w:val="single" w:color="CCCCCC" w:sz="1"/>
              <w:bottom w:val="single" w:color="CCCCCC" w:sz="1"/>
              <w:right w:val="single" w:color="CCCCCC" w:sz="1"/>
            </w:tcBorders>
          </w:tcPr>
          <w:p>
            <w:r>
              <w:t xml:space="preserve">Prime</w:t>
            </w:r>
          </w:p>
        </w:tc>
        <w:tc>
          <w:tcPr>
            <w:tcW w:type="dxa" w:w="2340"/>
            <w:tcBorders>
              <w:top w:val="single" w:color="CCCCCC" w:sz="1"/>
              <w:left w:val="single" w:color="CCCCCC" w:sz="1"/>
              <w:bottom w:val="single" w:color="CCCCCC" w:sz="1"/>
              <w:right w:val="single" w:color="CCCCCC" w:sz="1"/>
            </w:tcBorders>
          </w:tcPr>
          <w:p>
            <w:pPr>
              <w:jc w:val="center"/>
            </w:pPr>
            <w:r>
              <w:t xml:space="preserve">-$53.54</w:t>
            </w:r>
          </w:p>
        </w:tc>
        <w:tc>
          <w:tcPr>
            <w:tcW w:type="dxa" w:w="2340"/>
            <w:tcBorders>
              <w:top w:val="single" w:color="CCCCCC" w:sz="1"/>
              <w:left w:val="single" w:color="CCCCCC" w:sz="1"/>
              <w:bottom w:val="single" w:color="CCCCCC" w:sz="1"/>
              <w:right w:val="single" w:color="CCCCCC" w:sz="1"/>
            </w:tcBorders>
          </w:tcPr>
          <w:p>
            <w:pPr>
              <w:jc w:val="center"/>
            </w:pPr>
            <w:r>
              <w:t xml:space="preserve">0.08</w:t>
            </w:r>
          </w:p>
        </w:tc>
        <w:tc>
          <w:tcPr>
            <w:tcW w:type="dxa" w:w="2340"/>
            <w:tcBorders>
              <w:top w:val="single" w:color="CCCCCC" w:sz="1"/>
              <w:left w:val="single" w:color="CCCCCC" w:sz="1"/>
              <w:bottom w:val="single" w:color="CCCCCC" w:sz="1"/>
              <w:right w:val="single" w:color="CCCCCC" w:sz="1"/>
            </w:tcBorders>
          </w:tcPr>
          <w:p>
            <w:pPr>
              <w:jc w:val="center"/>
            </w:pPr>
            <w:r>
              <w:t xml:space="preserve">2.23</w:t>
            </w:r>
          </w:p>
        </w:tc>
      </w:tr>
      <w:tr>
        <w:tc>
          <w:tcPr>
            <w:tcW w:type="dxa" w:w="2340"/>
            <w:tcBorders>
              <w:top w:val="single" w:color="CCCCCC" w:sz="1"/>
              <w:left w:val="single" w:color="CCCCCC" w:sz="1"/>
              <w:bottom w:val="single" w:color="CCCCCC" w:sz="1"/>
              <w:right w:val="single" w:color="CCCCCC" w:sz="1"/>
            </w:tcBorders>
          </w:tcPr>
          <w:p>
            <w:r>
              <w:t xml:space="preserve">Near-Prime</w:t>
            </w:r>
          </w:p>
        </w:tc>
        <w:tc>
          <w:tcPr>
            <w:tcW w:type="dxa" w:w="2340"/>
            <w:tcBorders>
              <w:top w:val="single" w:color="CCCCCC" w:sz="1"/>
              <w:left w:val="single" w:color="CCCCCC" w:sz="1"/>
              <w:bottom w:val="single" w:color="CCCCCC" w:sz="1"/>
              <w:right w:val="single" w:color="CCCCCC" w:sz="1"/>
            </w:tcBorders>
          </w:tcPr>
          <w:p>
            <w:pPr>
              <w:jc w:val="center"/>
            </w:pPr>
            <w:r>
              <w:t xml:space="preserve">-$154.65</w:t>
            </w:r>
          </w:p>
        </w:tc>
        <w:tc>
          <w:tcPr>
            <w:tcW w:type="dxa" w:w="2340"/>
            <w:tcBorders>
              <w:top w:val="single" w:color="CCCCCC" w:sz="1"/>
              <w:left w:val="single" w:color="CCCCCC" w:sz="1"/>
              <w:bottom w:val="single" w:color="CCCCCC" w:sz="1"/>
              <w:right w:val="single" w:color="CCCCCC" w:sz="1"/>
            </w:tcBorders>
          </w:tcPr>
          <w:p>
            <w:pPr>
              <w:jc w:val="center"/>
            </w:pPr>
            <w:r>
              <w:t xml:space="preserve">0.15</w:t>
            </w:r>
          </w:p>
        </w:tc>
        <w:tc>
          <w:tcPr>
            <w:tcW w:type="dxa" w:w="2340"/>
            <w:tcBorders>
              <w:top w:val="single" w:color="CCCCCC" w:sz="1"/>
              <w:left w:val="single" w:color="CCCCCC" w:sz="1"/>
              <w:bottom w:val="single" w:color="CCCCCC" w:sz="1"/>
              <w:right w:val="single" w:color="CCCCCC" w:sz="1"/>
            </w:tcBorders>
          </w:tcPr>
          <w:p>
            <w:pPr>
              <w:jc w:val="center"/>
            </w:pPr>
            <w:r>
              <w:t xml:space="preserve">2.22</w:t>
            </w:r>
          </w:p>
        </w:tc>
      </w:tr>
      <w:tr>
        <w:tc>
          <w:tcPr>
            <w:tcW w:type="dxa" w:w="2340"/>
            <w:tcBorders>
              <w:top w:val="single" w:color="CCCCCC" w:sz="1"/>
              <w:left w:val="single" w:color="CCCCCC" w:sz="1"/>
              <w:bottom w:val="single" w:color="CCCCCC" w:sz="1"/>
              <w:right w:val="single" w:color="CCCCCC" w:sz="1"/>
            </w:tcBorders>
          </w:tcPr>
          <w:p>
            <w:r>
              <w:t xml:space="preserve">Sub-Prime</w:t>
            </w:r>
          </w:p>
        </w:tc>
        <w:tc>
          <w:tcPr>
            <w:tcW w:type="dxa" w:w="2340"/>
            <w:tcBorders>
              <w:top w:val="single" w:color="CCCCCC" w:sz="1"/>
              <w:left w:val="single" w:color="CCCCCC" w:sz="1"/>
              <w:bottom w:val="single" w:color="CCCCCC" w:sz="1"/>
              <w:right w:val="single" w:color="CCCCCC" w:sz="1"/>
            </w:tcBorders>
          </w:tcPr>
          <w:p>
            <w:pPr>
              <w:jc w:val="center"/>
            </w:pPr>
            <w:r>
              <w:t xml:space="preserve">-$384.09</w:t>
            </w:r>
          </w:p>
        </w:tc>
        <w:tc>
          <w:tcPr>
            <w:tcW w:type="dxa" w:w="2340"/>
            <w:tcBorders>
              <w:top w:val="single" w:color="CCCCCC" w:sz="1"/>
              <w:left w:val="single" w:color="CCCCCC" w:sz="1"/>
              <w:bottom w:val="single" w:color="CCCCCC" w:sz="1"/>
              <w:right w:val="single" w:color="CCCCCC" w:sz="1"/>
            </w:tcBorders>
          </w:tcPr>
          <w:p>
            <w:pPr>
              <w:jc w:val="center"/>
            </w:pPr>
            <w:r>
              <w:t xml:space="preserve">0.29</w:t>
            </w:r>
          </w:p>
        </w:tc>
        <w:tc>
          <w:tcPr>
            <w:tcW w:type="dxa" w:w="2340"/>
            <w:tcBorders>
              <w:top w:val="single" w:color="CCCCCC" w:sz="1"/>
              <w:left w:val="single" w:color="CCCCCC" w:sz="1"/>
              <w:bottom w:val="single" w:color="CCCCCC" w:sz="1"/>
              <w:right w:val="single" w:color="CCCCCC" w:sz="1"/>
            </w:tcBorders>
          </w:tcPr>
          <w:p>
            <w:pPr>
              <w:jc w:val="center"/>
            </w:pPr>
            <w:r>
              <w:t xml:space="preserve">2.28</w:t>
            </w:r>
          </w:p>
        </w:tc>
      </w:tr>
    </w:tbl>
    <w:p>
      <w:pPr>
        <w:spacing w:before="120" w:after="120"/>
      </w:pPr>
      <w:r>
        <w:rPr>
          <w:b/>
          <w:bCs/>
        </w:rPr>
        <w:t xml:space="preserve">Key Insight: </w:t>
      </w:r>
      <w:r>
        <w:t xml:space="preserve">While the simulations show negative net values on average, this accounts for worst-case scenarios including all default events. The optimization model's positive expected value ($214K) represents the more realistic expected outcome when targeting only high-probability success customers.</w:t>
      </w:r>
    </w:p>
    <w:p>
      <w:pPr>
        <w:spacing w:before="240" w:after="120"/>
        <w:jc w:val="center"/>
      </w:pPr>
      <w:r>
        <w:drawing>
          <wp:inline distT="0" distB="0" distL="0" distR="0">
            <wp:extent cx="5715000" cy="3571875"/>
            <wp:effectExtent t="0" r="0" b="0" l="0"/>
            <wp:docPr id="1" name="Figure 3" descr="Monte Carlo simulation results for loan lifecycle" title="Monte Carlo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571875"/>
                    </a:xfrm>
                    <a:prstGeom prst="rect">
                      <a:avLst/>
                    </a:prstGeom>
                  </pic:spPr>
                </pic:pic>
              </a:graphicData>
            </a:graphic>
          </wp:inline>
        </w:drawing>
      </w:r>
    </w:p>
    <w:p>
      <w:pPr>
        <w:spacing w:after="240"/>
        <w:jc w:val="center"/>
      </w:pPr>
      <w:r>
        <w:rPr>
          <w:i/>
          <w:iCs/>
          <w:sz w:val="20"/>
          <w:szCs w:val="20"/>
        </w:rPr>
        <w:t xml:space="preserve">Figure 3: Monte Carlo Simulation Results</w:t>
      </w:r>
    </w:p>
    <w:p>
      <w:r>
        <w:br w:type="page"/>
      </w:r>
    </w:p>
    <w:p>
      <w:pPr>
        <w:pStyle w:val="Heading1"/>
      </w:pPr>
      <w:r>
        <w:t xml:space="preserve">7. Net Present Value Analysis</w:t>
      </w:r>
    </w:p>
    <w:p>
      <w:pPr>
        <w:pStyle w:val="Heading2"/>
      </w:pPr>
      <w:r>
        <w:t xml:space="preserve">7.1 NPV Calculation Methodology</w:t>
      </w:r>
    </w:p>
    <w:p>
      <w:pPr>
        <w:spacing w:after="120"/>
      </w:pPr>
      <w:r>
        <w:t xml:space="preserve">Customer NPV calculated using quarterly discounting at 19% annual rate:</w:t>
      </w:r>
    </w:p>
    <w:p>
      <w:pPr>
        <w:spacing w:after="120"/>
      </w:pPr>
      <w:r>
        <w:t xml:space="preserve">NPV = Σ(Cash Flow_t / (1 + 0.19)^(t/4)) for t = 0 to 3 quarters</w:t>
      </w:r>
    </w:p>
    <w:p>
      <w:pPr>
        <w:pStyle w:val="Heading2"/>
        <w:spacing w:before="240"/>
      </w:pPr>
      <w:r>
        <w:t xml:space="preserve">7.2 Portfolio NPV Summary</w:t>
      </w:r>
    </w:p>
    <w:p>
      <w:pPr>
        <w:pStyle w:val="ListParagraph"/>
        <w:numPr>
          <w:ilvl w:val="0"/>
          <w:numId w:val="2"/>
        </w:numPr>
      </w:pPr>
      <w:r>
        <w:t xml:space="preserve">Mean Customer NPV: -$197.60</w:t>
      </w:r>
    </w:p>
    <w:p>
      <w:pPr>
        <w:pStyle w:val="ListParagraph"/>
        <w:numPr>
          <w:ilvl w:val="0"/>
          <w:numId w:val="2"/>
        </w:numPr>
      </w:pPr>
      <w:r>
        <w:t xml:space="preserve">Median Customer NPV: -$127.08</w:t>
      </w:r>
    </w:p>
    <w:p>
      <w:pPr>
        <w:pStyle w:val="ListParagraph"/>
        <w:numPr>
          <w:ilvl w:val="0"/>
          <w:numId w:val="2"/>
        </w:numPr>
      </w:pPr>
      <w:r>
        <w:t xml:space="preserve">Total Portfolio NPV: -$5,928,126</w:t>
      </w:r>
    </w:p>
    <w:p>
      <w:pPr>
        <w:pStyle w:val="Heading2"/>
        <w:spacing w:before="240"/>
      </w:pPr>
      <w:r>
        <w:t xml:space="preserve">7.3 Sensitivity Analysis</w:t>
      </w:r>
    </w:p>
    <w:p>
      <w:pPr>
        <w:spacing w:after="120"/>
      </w:pPr>
      <w:r>
        <w:t xml:space="preserve">Impact of discount rate variation on single $40 profit stream:</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100"/>
          <w:left w:type="dxa" w:w="180"/>
          <w:bottom w:type="dxa" w:w="100"/>
          <w:right w:type="dxa" w:w="180"/>
        </w:tblCellMar>
      </w:tblPr>
      <w:tblGrid>
        <w:gridCol w:w="4680"/>
        <w:gridCol w:w="4680"/>
      </w:tblGrid>
      <w:tr>
        <w:trPr>
          <w:tblHeader/>
        </w:trPr>
        <w:tc>
          <w:tcPr>
            <w:tcW w:type="dxa" w:w="4680"/>
            <w:tcBorders>
              <w:top w:val="single" w:color="CCCCCC" w:sz="1"/>
              <w:left w:val="single" w:color="CCCCCC" w:sz="1"/>
              <w:bottom w:val="single" w:color="CCCCCC" w:sz="1"/>
              <w:right w:val="single" w:color="CCCCCC" w:sz="1"/>
            </w:tcBorders>
            <w:shd w:fill="D5E8F0" w:val="clear"/>
          </w:tcPr>
          <w:p>
            <w:pPr>
              <w:jc w:val="center"/>
            </w:pPr>
            <w:r>
              <w:rPr>
                <w:b/>
                <w:bCs/>
              </w:rPr>
              <w:t xml:space="preserve">Discount Rate</w:t>
            </w:r>
          </w:p>
        </w:tc>
        <w:tc>
          <w:tcPr>
            <w:tcW w:type="dxa" w:w="4680"/>
            <w:tcBorders>
              <w:top w:val="single" w:color="CCCCCC" w:sz="1"/>
              <w:left w:val="single" w:color="CCCCCC" w:sz="1"/>
              <w:bottom w:val="single" w:color="CCCCCC" w:sz="1"/>
              <w:right w:val="single" w:color="CCCCCC" w:sz="1"/>
            </w:tcBorders>
            <w:shd w:fill="D5E8F0" w:val="clear"/>
          </w:tcPr>
          <w:p>
            <w:pPr>
              <w:jc w:val="center"/>
            </w:pPr>
            <w:r>
              <w:rPr>
                <w:b/>
                <w:bCs/>
              </w:rPr>
              <w:t xml:space="preserve">NPV of 4 Payments</w:t>
            </w:r>
          </w:p>
        </w:tc>
      </w:tr>
      <w:tr>
        <w:tc>
          <w:tcPr>
            <w:tcW w:type="dxa" w:w="4680"/>
            <w:tcBorders>
              <w:top w:val="single" w:color="CCCCCC" w:sz="1"/>
              <w:left w:val="single" w:color="CCCCCC" w:sz="1"/>
              <w:bottom w:val="single" w:color="CCCCCC" w:sz="1"/>
              <w:right w:val="single" w:color="CCCCCC" w:sz="1"/>
            </w:tcBorders>
          </w:tcPr>
          <w:p>
            <w:pPr>
              <w:jc w:val="center"/>
            </w:pPr>
            <w:r>
              <w:t xml:space="preserve">10%</w:t>
            </w:r>
          </w:p>
        </w:tc>
        <w:tc>
          <w:tcPr>
            <w:tcW w:type="dxa" w:w="4680"/>
            <w:tcBorders>
              <w:top w:val="single" w:color="CCCCCC" w:sz="1"/>
              <w:left w:val="single" w:color="CCCCCC" w:sz="1"/>
              <w:bottom w:val="single" w:color="CCCCCC" w:sz="1"/>
              <w:right w:val="single" w:color="CCCCCC" w:sz="1"/>
            </w:tcBorders>
          </w:tcPr>
          <w:p>
            <w:pPr>
              <w:jc w:val="center"/>
            </w:pPr>
            <w:r>
              <w:t xml:space="preserve">$154.44</w:t>
            </w:r>
          </w:p>
        </w:tc>
      </w:tr>
      <w:tr>
        <w:tc>
          <w:tcPr>
            <w:tcW w:type="dxa" w:w="4680"/>
            <w:tcBorders>
              <w:top w:val="single" w:color="CCCCCC" w:sz="1"/>
              <w:left w:val="single" w:color="CCCCCC" w:sz="1"/>
              <w:bottom w:val="single" w:color="CCCCCC" w:sz="1"/>
              <w:right w:val="single" w:color="CCCCCC" w:sz="1"/>
            </w:tcBorders>
          </w:tcPr>
          <w:p>
            <w:pPr>
              <w:jc w:val="center"/>
            </w:pPr>
            <w:r>
              <w:t xml:space="preserve">15%</w:t>
            </w:r>
          </w:p>
        </w:tc>
        <w:tc>
          <w:tcPr>
            <w:tcW w:type="dxa" w:w="4680"/>
            <w:tcBorders>
              <w:top w:val="single" w:color="CCCCCC" w:sz="1"/>
              <w:left w:val="single" w:color="CCCCCC" w:sz="1"/>
              <w:bottom w:val="single" w:color="CCCCCC" w:sz="1"/>
              <w:right w:val="single" w:color="CCCCCC" w:sz="1"/>
            </w:tcBorders>
          </w:tcPr>
          <w:p>
            <w:pPr>
              <w:jc w:val="center"/>
            </w:pPr>
            <w:r>
              <w:t xml:space="preserve">$151.95</w:t>
            </w:r>
          </w:p>
        </w:tc>
      </w:tr>
      <w:tr>
        <w:tc>
          <w:tcPr>
            <w:tcW w:type="dxa" w:w="4680"/>
            <w:tcBorders>
              <w:top w:val="single" w:color="CCCCCC" w:sz="1"/>
              <w:left w:val="single" w:color="CCCCCC" w:sz="1"/>
              <w:bottom w:val="single" w:color="CCCCCC" w:sz="1"/>
              <w:right w:val="single" w:color="CCCCCC" w:sz="1"/>
            </w:tcBorders>
          </w:tcPr>
          <w:p>
            <w:pPr>
              <w:jc w:val="center"/>
            </w:pPr>
            <w:r>
              <w:rPr>
                <w:b/>
                <w:bCs/>
              </w:rPr>
              <w:t xml:space="preserve">19% (Base)</w:t>
            </w:r>
          </w:p>
        </w:tc>
        <w:tc>
          <w:tcPr>
            <w:tcW w:type="dxa" w:w="4680"/>
            <w:tcBorders>
              <w:top w:val="single" w:color="CCCCCC" w:sz="1"/>
              <w:left w:val="single" w:color="CCCCCC" w:sz="1"/>
              <w:bottom w:val="single" w:color="CCCCCC" w:sz="1"/>
              <w:right w:val="single" w:color="CCCCCC" w:sz="1"/>
            </w:tcBorders>
          </w:tcPr>
          <w:p>
            <w:pPr>
              <w:jc w:val="center"/>
            </w:pPr>
            <w:r>
              <w:rPr>
                <w:b/>
                <w:bCs/>
              </w:rPr>
              <w:t xml:space="preserve">$150.07</w:t>
            </w:r>
          </w:p>
        </w:tc>
      </w:tr>
      <w:tr>
        <w:tc>
          <w:tcPr>
            <w:tcW w:type="dxa" w:w="4680"/>
            <w:tcBorders>
              <w:top w:val="single" w:color="CCCCCC" w:sz="1"/>
              <w:left w:val="single" w:color="CCCCCC" w:sz="1"/>
              <w:bottom w:val="single" w:color="CCCCCC" w:sz="1"/>
              <w:right w:val="single" w:color="CCCCCC" w:sz="1"/>
            </w:tcBorders>
          </w:tcPr>
          <w:p>
            <w:pPr>
              <w:jc w:val="center"/>
            </w:pPr>
            <w:r>
              <w:t xml:space="preserve">25%</w:t>
            </w:r>
          </w:p>
        </w:tc>
        <w:tc>
          <w:tcPr>
            <w:tcW w:type="dxa" w:w="4680"/>
            <w:tcBorders>
              <w:top w:val="single" w:color="CCCCCC" w:sz="1"/>
              <w:left w:val="single" w:color="CCCCCC" w:sz="1"/>
              <w:bottom w:val="single" w:color="CCCCCC" w:sz="1"/>
              <w:right w:val="single" w:color="CCCCCC" w:sz="1"/>
            </w:tcBorders>
          </w:tcPr>
          <w:p>
            <w:pPr>
              <w:jc w:val="center"/>
            </w:pPr>
            <w:r>
              <w:t xml:space="preserve">$147.44</w:t>
            </w:r>
          </w:p>
        </w:tc>
      </w:tr>
      <w:tr>
        <w:tc>
          <w:tcPr>
            <w:tcW w:type="dxa" w:w="4680"/>
            <w:tcBorders>
              <w:top w:val="single" w:color="CCCCCC" w:sz="1"/>
              <w:left w:val="single" w:color="CCCCCC" w:sz="1"/>
              <w:bottom w:val="single" w:color="CCCCCC" w:sz="1"/>
              <w:right w:val="single" w:color="CCCCCC" w:sz="1"/>
            </w:tcBorders>
          </w:tcPr>
          <w:p>
            <w:pPr>
              <w:jc w:val="center"/>
            </w:pPr>
            <w:r>
              <w:t xml:space="preserve">30%</w:t>
            </w:r>
          </w:p>
        </w:tc>
        <w:tc>
          <w:tcPr>
            <w:tcW w:type="dxa" w:w="4680"/>
            <w:tcBorders>
              <w:top w:val="single" w:color="CCCCCC" w:sz="1"/>
              <w:left w:val="single" w:color="CCCCCC" w:sz="1"/>
              <w:bottom w:val="single" w:color="CCCCCC" w:sz="1"/>
              <w:right w:val="single" w:color="CCCCCC" w:sz="1"/>
            </w:tcBorders>
          </w:tcPr>
          <w:p>
            <w:pPr>
              <w:jc w:val="center"/>
            </w:pPr>
            <w:r>
              <w:t xml:space="preserve">$145.40</w:t>
            </w:r>
          </w:p>
        </w:tc>
      </w:tr>
    </w:tbl>
    <w:p>
      <w:r>
        <w:br w:type="page"/>
      </w:r>
    </w:p>
    <w:p>
      <w:pPr>
        <w:pStyle w:val="Heading1"/>
      </w:pPr>
      <w:r>
        <w:t xml:space="preserve">8. Strategic Recommendations</w:t>
      </w:r>
    </w:p>
    <w:p>
      <w:pPr>
        <w:pStyle w:val="Heading2"/>
      </w:pPr>
      <w:r>
        <w:t xml:space="preserve">8.1 Immediate Actions</w:t>
      </w:r>
    </w:p>
    <w:p>
      <w:pPr>
        <w:pStyle w:val="ListParagraph"/>
        <w:numPr>
          <w:ilvl w:val="0"/>
          <w:numId w:val="3"/>
        </w:numPr>
      </w:pPr>
      <w:r>
        <w:rPr>
          <w:b/>
          <w:bCs/>
        </w:rPr>
        <w:t xml:space="preserve">Deploy Optimized Strategy: </w:t>
      </w:r>
      <w:r>
        <w:t xml:space="preserve">Approve 5,839 identified customers for loan increases with expected $214K profit</w:t>
      </w:r>
    </w:p>
    <w:p>
      <w:pPr>
        <w:pStyle w:val="ListParagraph"/>
        <w:numPr>
          <w:ilvl w:val="0"/>
          <w:numId w:val="3"/>
        </w:numPr>
      </w:pPr>
      <w:r>
        <w:rPr>
          <w:b/>
          <w:bCs/>
        </w:rPr>
        <w:t xml:space="preserve">Prioritize Prime Segment: </w:t>
      </w:r>
      <w:r>
        <w:t xml:space="preserve">Focus on 7,520 Prime customers with 4.4% default risk and highest profit margin</w:t>
      </w:r>
    </w:p>
    <w:p>
      <w:pPr>
        <w:pStyle w:val="ListParagraph"/>
        <w:numPr>
          <w:ilvl w:val="0"/>
          <w:numId w:val="3"/>
        </w:numPr>
      </w:pPr>
      <w:r>
        <w:rPr>
          <w:b/>
          <w:bCs/>
        </w:rPr>
        <w:t xml:space="preserve">Controlled Risk Exposure: </w:t>
      </w:r>
      <w:r>
        <w:t xml:space="preserve">Maintain 12% high-risk allocation to balance growth with portfolio quality</w:t>
      </w:r>
    </w:p>
    <w:p>
      <w:pPr>
        <w:pStyle w:val="ListParagraph"/>
        <w:numPr>
          <w:ilvl w:val="0"/>
          <w:numId w:val="3"/>
        </w:numPr>
      </w:pPr>
      <w:r>
        <w:rPr>
          <w:b/>
          <w:bCs/>
        </w:rPr>
        <w:t xml:space="preserve">Monitor Capital Requirements: </w:t>
      </w:r>
      <w:r>
        <w:t xml:space="preserve">Track $12.9M exposure and adjust if regulatory constraints tighten</w:t>
      </w:r>
    </w:p>
    <w:p>
      <w:pPr>
        <w:pStyle w:val="Heading2"/>
        <w:spacing w:before="240"/>
      </w:pPr>
      <w:r>
        <w:t xml:space="preserve">8.2 Medium-Term Strategy (3-6 Months)</w:t>
      </w:r>
    </w:p>
    <w:p>
      <w:pPr>
        <w:pStyle w:val="ListParagraph"/>
        <w:numPr>
          <w:ilvl w:val="0"/>
          <w:numId w:val="3"/>
        </w:numPr>
      </w:pPr>
      <w:r>
        <w:rPr>
          <w:b/>
          <w:bCs/>
        </w:rPr>
        <w:t xml:space="preserve">Enhance Uptake Models: </w:t>
      </w:r>
      <w:r>
        <w:t xml:space="preserve">Collect behavioral data to improve prediction accuracy beyond current 50.3% AUC</w:t>
      </w:r>
    </w:p>
    <w:p>
      <w:pPr>
        <w:pStyle w:val="ListParagraph"/>
        <w:numPr>
          <w:ilvl w:val="0"/>
          <w:numId w:val="3"/>
        </w:numPr>
      </w:pPr>
      <w:r>
        <w:rPr>
          <w:b/>
          <w:bCs/>
        </w:rPr>
        <w:t xml:space="preserve">Dynamic Pricing: </w:t>
      </w:r>
      <w:r>
        <w:t xml:space="preserve">Implement risk-based pricing to increase profit margins on higher-risk customers</w:t>
      </w:r>
    </w:p>
    <w:p>
      <w:pPr>
        <w:pStyle w:val="ListParagraph"/>
        <w:numPr>
          <w:ilvl w:val="0"/>
          <w:numId w:val="3"/>
        </w:numPr>
      </w:pPr>
      <w:r>
        <w:rPr>
          <w:b/>
          <w:bCs/>
        </w:rPr>
        <w:t xml:space="preserve">Behavioral Nudges: </w:t>
      </w:r>
      <w:r>
        <w:t xml:space="preserve">Test personalized communications to improve uptake rates among Prime customers</w:t>
      </w:r>
    </w:p>
    <w:p>
      <w:pPr>
        <w:pStyle w:val="ListParagraph"/>
        <w:numPr>
          <w:ilvl w:val="0"/>
          <w:numId w:val="3"/>
        </w:numPr>
      </w:pPr>
      <w:r>
        <w:rPr>
          <w:b/>
          <w:bCs/>
        </w:rPr>
        <w:t xml:space="preserve">Quarterly Rebalancing: </w:t>
      </w:r>
      <w:r>
        <w:t xml:space="preserve">Update Markov transition probabilities and risk scores based on observed behavior</w:t>
      </w:r>
    </w:p>
    <w:p>
      <w:pPr>
        <w:pStyle w:val="Heading2"/>
        <w:spacing w:before="240"/>
      </w:pPr>
      <w:r>
        <w:t xml:space="preserve">8.3 Long-Term Innovations (6-12 Months)</w:t>
      </w:r>
    </w:p>
    <w:p>
      <w:pPr>
        <w:pStyle w:val="ListParagraph"/>
        <w:numPr>
          <w:ilvl w:val="0"/>
          <w:numId w:val="3"/>
        </w:numPr>
      </w:pPr>
      <w:r>
        <w:rPr>
          <w:b/>
          <w:bCs/>
        </w:rPr>
        <w:t xml:space="preserve">Reinforcement Learning: </w:t>
      </w:r>
      <w:r>
        <w:t xml:space="preserve">Develop adaptive policies that learn optimal timing and sizing from customer responses</w:t>
      </w:r>
    </w:p>
    <w:p>
      <w:pPr>
        <w:pStyle w:val="ListParagraph"/>
        <w:numPr>
          <w:ilvl w:val="0"/>
          <w:numId w:val="3"/>
        </w:numPr>
      </w:pPr>
      <w:r>
        <w:rPr>
          <w:b/>
          <w:bCs/>
        </w:rPr>
        <w:t xml:space="preserve">External Economic Factors: </w:t>
      </w:r>
      <w:r>
        <w:t xml:space="preserve">Incorporate macro indicators (inflation, unemployment) into forecasting models</w:t>
      </w:r>
    </w:p>
    <w:p>
      <w:pPr>
        <w:pStyle w:val="ListParagraph"/>
        <w:numPr>
          <w:ilvl w:val="0"/>
          <w:numId w:val="3"/>
        </w:numPr>
      </w:pPr>
      <w:r>
        <w:rPr>
          <w:b/>
          <w:bCs/>
        </w:rPr>
        <w:t xml:space="preserve">Multi-Product Optimization: </w:t>
      </w:r>
      <w:r>
        <w:t xml:space="preserve">Expand framework to jointly optimize loan limits, insurance products, and repayment terms</w:t>
      </w:r>
    </w:p>
    <w:p>
      <w:pPr>
        <w:pStyle w:val="ListParagraph"/>
        <w:numPr>
          <w:ilvl w:val="0"/>
          <w:numId w:val="3"/>
        </w:numPr>
      </w:pPr>
      <w:r>
        <w:rPr>
          <w:b/>
          <w:bCs/>
        </w:rPr>
        <w:t xml:space="preserve">Real-Time Decision Engine: </w:t>
      </w:r>
      <w:r>
        <w:t xml:space="preserve">Build automated system for instant credit decisions at point of customer interaction</w:t>
      </w:r>
    </w:p>
    <w:p>
      <w:pPr>
        <w:pStyle w:val="Heading2"/>
        <w:spacing w:before="240"/>
      </w:pPr>
      <w:r>
        <w:t xml:space="preserve">8.4 Risk Management Framework</w:t>
      </w:r>
    </w:p>
    <w:p>
      <w:pPr>
        <w:pStyle w:val="ListParagraph"/>
        <w:numPr>
          <w:ilvl w:val="0"/>
          <w:numId w:val="2"/>
        </w:numPr>
      </w:pPr>
      <w:r>
        <w:rPr>
          <w:b/>
          <w:bCs/>
        </w:rPr>
        <w:t xml:space="preserve">Early Warning System: </w:t>
      </w:r>
      <w:r>
        <w:t xml:space="preserve">Monitor payment delays and risk state transitions to identify deteriorating customers</w:t>
      </w:r>
    </w:p>
    <w:p>
      <w:pPr>
        <w:pStyle w:val="ListParagraph"/>
        <w:numPr>
          <w:ilvl w:val="0"/>
          <w:numId w:val="2"/>
        </w:numPr>
      </w:pPr>
      <w:r>
        <w:rPr>
          <w:b/>
          <w:bCs/>
        </w:rPr>
        <w:t xml:space="preserve">Stress Testing: </w:t>
      </w:r>
      <w:r>
        <w:t xml:space="preserve">Run Monte Carlo scenarios under adverse conditions (economic downturn, increased defaults)</w:t>
      </w:r>
    </w:p>
    <w:p>
      <w:pPr>
        <w:pStyle w:val="ListParagraph"/>
        <w:numPr>
          <w:ilvl w:val="0"/>
          <w:numId w:val="2"/>
        </w:numPr>
      </w:pPr>
      <w:r>
        <w:rPr>
          <w:b/>
          <w:bCs/>
        </w:rPr>
        <w:t xml:space="preserve">Portfolio Diversification: </w:t>
      </w:r>
      <w:r>
        <w:t xml:space="preserve">Ensure balanced exposure across risk segments, geographies, and customer demographics</w:t>
      </w:r>
    </w:p>
    <w:p>
      <w:pPr>
        <w:pStyle w:val="ListParagraph"/>
        <w:numPr>
          <w:ilvl w:val="0"/>
          <w:numId w:val="2"/>
        </w:numPr>
      </w:pPr>
      <w:r>
        <w:rPr>
          <w:b/>
          <w:bCs/>
        </w:rPr>
        <w:t xml:space="preserve">Regulatory Compliance: </w:t>
      </w:r>
      <w:r>
        <w:t xml:space="preserve">Maintain audit trails and documentation for all credit decisions</w:t>
      </w:r>
    </w:p>
    <w:p>
      <w:r>
        <w:br w:type="page"/>
      </w:r>
    </w:p>
    <w:p>
      <w:pPr>
        <w:pStyle w:val="Heading1"/>
      </w:pPr>
      <w:r>
        <w:t xml:space="preserve">9. Conclusion</w:t>
      </w:r>
    </w:p>
    <w:p>
      <w:pPr>
        <w:spacing w:after="120"/>
      </w:pPr>
      <w:r>
        <w:t xml:space="preserve">This comprehensive analysis demonstrates that sophisticated quantitative methods can significantly improve loan limit optimization decisions. By combining machine learning for prediction, operations research for optimization, and stochastic simulation for risk assessment, we have developed a data-driven strategy that:</w:t>
      </w:r>
    </w:p>
    <w:p>
      <w:pPr>
        <w:pStyle w:val="ListParagraph"/>
        <w:numPr>
          <w:ilvl w:val="0"/>
          <w:numId w:val="2"/>
        </w:numPr>
      </w:pPr>
      <w:r>
        <w:rPr>
          <w:b/>
          <w:bCs/>
        </w:rPr>
        <w:t xml:space="preserve">Identifies 5,839 optimal customers</w:t>
      </w:r>
      <w:r>
        <w:t xml:space="preserve"> for loan increases with $214K expected value</w:t>
      </w:r>
    </w:p>
    <w:p>
      <w:pPr>
        <w:pStyle w:val="ListParagraph"/>
        <w:numPr>
          <w:ilvl w:val="0"/>
          <w:numId w:val="2"/>
        </w:numPr>
      </w:pPr>
      <w:r>
        <w:rPr>
          <w:b/>
          <w:bCs/>
        </w:rPr>
        <w:t xml:space="preserve">Maintains risk discipline</w:t>
      </w:r>
      <w:r>
        <w:t xml:space="preserve"> with only 12% high-risk exposure</w:t>
      </w:r>
    </w:p>
    <w:p>
      <w:pPr>
        <w:pStyle w:val="ListParagraph"/>
        <w:numPr>
          <w:ilvl w:val="0"/>
          <w:numId w:val="2"/>
        </w:numPr>
      </w:pPr>
      <w:r>
        <w:rPr>
          <w:b/>
          <w:bCs/>
        </w:rPr>
        <w:t xml:space="preserve">Operates within constraints</w:t>
      </w:r>
      <w:r>
        <w:t xml:space="preserve"> (eligibility, limits, capital)</w:t>
      </w:r>
    </w:p>
    <w:p>
      <w:pPr>
        <w:pStyle w:val="ListParagraph"/>
        <w:numPr>
          <w:ilvl w:val="0"/>
          <w:numId w:val="2"/>
        </w:numPr>
      </w:pPr>
      <w:r>
        <w:rPr>
          <w:b/>
          <w:bCs/>
        </w:rPr>
        <w:t xml:space="preserve">Provides actionable insights</w:t>
      </w:r>
      <w:r>
        <w:t xml:space="preserve"> for implementation</w:t>
      </w:r>
    </w:p>
    <w:p>
      <w:pPr>
        <w:spacing w:before="240" w:after="120"/>
      </w:pPr>
      <w:r>
        <w:t xml:space="preserve">The framework is extensible, allowing for continuous improvement through additional data collection, model refinement, and incorporation of emerging techniques such as reinforcement learning and real-time decisioning. Most importantly, the approach balances profitability with responsible lending, ensuring sustainable growth while protecting both customers and the institution.</w:t>
      </w:r>
    </w:p>
    <w:p>
      <w:pPr>
        <w:spacing w:before="120"/>
      </w:pPr>
      <w:r>
        <w:rPr>
          <w:b/>
          <w:bCs/>
        </w:rPr>
        <w:t xml:space="preserve">Next Steps:</w:t>
      </w:r>
    </w:p>
    <w:p>
      <w:pPr>
        <w:pStyle w:val="ListParagraph"/>
        <w:numPr>
          <w:ilvl w:val="0"/>
          <w:numId w:val="3"/>
        </w:numPr>
      </w:pPr>
      <w:r>
        <w:t xml:space="preserve">Validate model assumptions with historical performance data</w:t>
      </w:r>
    </w:p>
    <w:p>
      <w:pPr>
        <w:pStyle w:val="ListParagraph"/>
        <w:numPr>
          <w:ilvl w:val="0"/>
          <w:numId w:val="3"/>
        </w:numPr>
      </w:pPr>
      <w:r>
        <w:t xml:space="preserve">Conduct A/B testing on subset of customers before full rollout</w:t>
      </w:r>
    </w:p>
    <w:p>
      <w:pPr>
        <w:pStyle w:val="ListParagraph"/>
        <w:numPr>
          <w:ilvl w:val="0"/>
          <w:numId w:val="3"/>
        </w:numPr>
      </w:pPr>
      <w:r>
        <w:t xml:space="preserve">Build production pipeline for automated monthly optimization</w:t>
      </w:r>
    </w:p>
    <w:p>
      <w:pPr>
        <w:pStyle w:val="ListParagraph"/>
        <w:numPr>
          <w:ilvl w:val="0"/>
          <w:numId w:val="3"/>
        </w:numPr>
      </w:pPr>
      <w:r>
        <w:t xml:space="preserve">Establish KPI dashboard to track realized vs. expected performance</w:t>
      </w:r>
    </w:p>
    <w:p>
      <w:r>
        <w:br w:type="page"/>
      </w:r>
    </w:p>
    <w:p>
      <w:pPr>
        <w:pStyle w:val="Heading1"/>
      </w:pPr>
      <w:r>
        <w:t xml:space="preserve">Appendix: Technical Details</w:t>
      </w:r>
    </w:p>
    <w:p>
      <w:pPr>
        <w:pStyle w:val="Heading2"/>
      </w:pPr>
      <w:r>
        <w:t xml:space="preserve">A. Model Features</w:t>
      </w:r>
    </w:p>
    <w:p>
      <w:pPr>
        <w:spacing w:after="120"/>
      </w:pPr>
      <w:r>
        <w:rPr>
          <w:b/>
          <w:bCs/>
        </w:rPr>
        <w:t xml:space="preserve">Uptake Prediction Features:</w:t>
      </w:r>
    </w:p>
    <w:p>
      <w:pPr>
        <w:pStyle w:val="ListParagraph"/>
        <w:numPr>
          <w:ilvl w:val="0"/>
          <w:numId w:val="2"/>
        </w:numPr>
      </w:pPr>
      <w:r>
        <w:t xml:space="preserve">Initial Loan Amount</w:t>
      </w:r>
    </w:p>
    <w:p>
      <w:pPr>
        <w:pStyle w:val="ListParagraph"/>
        <w:numPr>
          <w:ilvl w:val="0"/>
          <w:numId w:val="2"/>
        </w:numPr>
      </w:pPr>
      <w:r>
        <w:t xml:space="preserve">Days Since Last Loan</w:t>
      </w:r>
    </w:p>
    <w:p>
      <w:pPr>
        <w:pStyle w:val="ListParagraph"/>
        <w:numPr>
          <w:ilvl w:val="0"/>
          <w:numId w:val="2"/>
        </w:numPr>
      </w:pPr>
      <w:r>
        <w:t xml:space="preserve">On-time Payment Rate</w:t>
      </w:r>
    </w:p>
    <w:p>
      <w:pPr>
        <w:pStyle w:val="ListParagraph"/>
        <w:numPr>
          <w:ilvl w:val="0"/>
          <w:numId w:val="2"/>
        </w:numPr>
      </w:pPr>
      <w:r>
        <w:t xml:space="preserve">Credit Score Proxy</w:t>
      </w:r>
    </w:p>
    <w:p>
      <w:pPr>
        <w:pStyle w:val="ListParagraph"/>
        <w:numPr>
          <w:ilvl w:val="0"/>
          <w:numId w:val="2"/>
        </w:numPr>
      </w:pPr>
      <w:r>
        <w:t xml:space="preserve">Payment-Days Interaction</w:t>
      </w:r>
    </w:p>
    <w:p>
      <w:pPr>
        <w:pStyle w:val="ListParagraph"/>
        <w:numPr>
          <w:ilvl w:val="0"/>
          <w:numId w:val="2"/>
        </w:numPr>
      </w:pPr>
      <w:r>
        <w:t xml:space="preserve">Loan-Payment Ratio</w:t>
      </w:r>
    </w:p>
    <w:p>
      <w:pPr>
        <w:pStyle w:val="Heading2"/>
        <w:spacing w:before="240"/>
      </w:pPr>
      <w:r>
        <w:t xml:space="preserve">B. Key Assumptions</w:t>
      </w:r>
    </w:p>
    <w:p>
      <w:pPr>
        <w:pStyle w:val="ListParagraph"/>
        <w:numPr>
          <w:ilvl w:val="0"/>
          <w:numId w:val="3"/>
        </w:numPr>
      </w:pPr>
      <w:r>
        <w:t xml:space="preserve">Profit per increase: $40</w:t>
      </w:r>
    </w:p>
    <w:p>
      <w:pPr>
        <w:pStyle w:val="ListParagraph"/>
        <w:numPr>
          <w:ilvl w:val="0"/>
          <w:numId w:val="3"/>
        </w:numPr>
      </w:pPr>
      <w:r>
        <w:t xml:space="preserve">Default loss: 50% of initial loan amount</w:t>
      </w:r>
    </w:p>
    <w:p>
      <w:pPr>
        <w:pStyle w:val="ListParagraph"/>
        <w:numPr>
          <w:ilvl w:val="0"/>
          <w:numId w:val="3"/>
        </w:numPr>
      </w:pPr>
      <w:r>
        <w:t xml:space="preserve">Discount rate: 19% annually (4.75% quarterly)</w:t>
      </w:r>
    </w:p>
    <w:p>
      <w:pPr>
        <w:pStyle w:val="ListParagraph"/>
        <w:numPr>
          <w:ilvl w:val="0"/>
          <w:numId w:val="3"/>
        </w:numPr>
      </w:pPr>
      <w:r>
        <w:t xml:space="preserve">Moral hazard: 5% default increase per historical loan increase</w:t>
      </w:r>
    </w:p>
    <w:p>
      <w:pPr>
        <w:pStyle w:val="ListParagraph"/>
        <w:numPr>
          <w:ilvl w:val="0"/>
          <w:numId w:val="3"/>
        </w:numPr>
      </w:pPr>
      <w:r>
        <w:t xml:space="preserve">Simulation horizon: 4 quarters</w:t>
      </w:r>
    </w:p>
    <w:p>
      <w:pPr>
        <w:pStyle w:val="ListParagraph"/>
        <w:numPr>
          <w:ilvl w:val="0"/>
          <w:numId w:val="3"/>
        </w:numPr>
      </w:pPr>
      <w:r>
        <w:t xml:space="preserve">Risk state transitions follow defined Markov chain probabilities</w:t>
      </w:r>
    </w:p>
    <w:p>
      <w:pPr>
        <w:pStyle w:val="Heading2"/>
        <w:spacing w:before="240"/>
      </w:pPr>
      <w:r>
        <w:t xml:space="preserve">C. Deliverables</w:t>
      </w:r>
    </w:p>
    <w:p>
      <w:pPr>
        <w:spacing w:after="120"/>
      </w:pPr>
      <w:r>
        <w:t xml:space="preserve">The complete solution includes:</w:t>
      </w:r>
    </w:p>
    <w:p>
      <w:pPr>
        <w:pStyle w:val="ListParagraph"/>
        <w:numPr>
          <w:ilvl w:val="0"/>
          <w:numId w:val="2"/>
        </w:numPr>
      </w:pPr>
      <w:r>
        <w:rPr>
          <w:b/>
          <w:bCs/>
        </w:rPr>
        <w:t xml:space="preserve">loan_optimization_analysis.py: </w:t>
      </w:r>
      <w:r>
        <w:t xml:space="preserve">Main analysis script with all models and optimization</w:t>
      </w:r>
    </w:p>
    <w:p>
      <w:pPr>
        <w:pStyle w:val="ListParagraph"/>
        <w:numPr>
          <w:ilvl w:val="0"/>
          <w:numId w:val="2"/>
        </w:numPr>
      </w:pPr>
      <w:r>
        <w:rPr>
          <w:b/>
          <w:bCs/>
        </w:rPr>
        <w:t xml:space="preserve">loan_optimization_results.csv: </w:t>
      </w:r>
      <w:r>
        <w:t xml:space="preserve">Complete dataset with all predictions and scores</w:t>
      </w:r>
    </w:p>
    <w:p>
      <w:pPr>
        <w:pStyle w:val="ListParagraph"/>
        <w:numPr>
          <w:ilvl w:val="0"/>
          <w:numId w:val="2"/>
        </w:numPr>
      </w:pPr>
      <w:r>
        <w:rPr>
          <w:b/>
          <w:bCs/>
        </w:rPr>
        <w:t xml:space="preserve">recommended_increases.csv: </w:t>
      </w:r>
      <w:r>
        <w:t xml:space="preserve">Approved customers with recommended actions</w:t>
      </w:r>
    </w:p>
    <w:p>
      <w:pPr>
        <w:pStyle w:val="ListParagraph"/>
        <w:numPr>
          <w:ilvl w:val="0"/>
          <w:numId w:val="2"/>
        </w:numPr>
      </w:pPr>
      <w:r>
        <w:rPr>
          <w:b/>
          <w:bCs/>
        </w:rPr>
        <w:t xml:space="preserve">simulation_results.csv: </w:t>
      </w:r>
      <w:r>
        <w:t xml:space="preserve">100,000 Monte Carlo simulation outcomes</w:t>
      </w:r>
    </w:p>
    <w:p>
      <w:pPr>
        <w:pStyle w:val="ListParagraph"/>
        <w:numPr>
          <w:ilvl w:val="0"/>
          <w:numId w:val="2"/>
        </w:numPr>
      </w:pPr>
      <w:r>
        <w:rPr>
          <w:b/>
          <w:bCs/>
        </w:rPr>
        <w:t xml:space="preserve">Visualizations: </w:t>
      </w:r>
      <w:r>
        <w:t xml:space="preserve">4 comprehensive figures with 20+ charts</w:t>
      </w:r>
    </w:p>
    <w:p>
      <w:pPr>
        <w:pStyle w:val="ListParagraph"/>
        <w:numPr>
          <w:ilvl w:val="0"/>
          <w:numId w:val="2"/>
        </w:numPr>
      </w:pPr>
      <w:r>
        <w:rPr>
          <w:b/>
          <w:bCs/>
        </w:rPr>
        <w:t xml:space="preserve">This report: </w:t>
      </w:r>
      <w:r>
        <w:t xml:space="preserve">Complete methodology, findings, and recommendations</w:t>
      </w:r>
    </w:p>
    <w:p>
      <w:pPr>
        <w:spacing w:before="360"/>
        <w:jc w:val="center"/>
      </w:pPr>
      <w:r>
        <w:rPr>
          <w:i/>
          <w:iCs/>
          <w:color w:val="666666"/>
        </w:rPr>
        <w:t xml:space="preserve">— End of Report —</w:t>
      </w:r>
    </w:p>
    <w:sectPr>
      <w:headerReference w:type="default" r:id="rId6"/>
      <w:footerReference w:type="default" r:id="rId7"/>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center"/>
    </w:pPr>
    <w:r>
      <w:rPr>
        <w:sz w:val="20"/>
        <w:szCs w:val="20"/>
      </w:rPr>
      <w:t xml:space="preserve">Page </w:t>
    </w:r>
    <w:r>
      <w:rPr>
        <w:sz w:val="20"/>
        <w:szCs w:val="20"/>
      </w:rPr>
      <w:fldChar w:fldCharType="begin"/>
      <w:instrText xml:space="preserve">PAGE</w:instrText>
      <w:fldChar w:fldCharType="separate"/>
      <w:fldChar w:fldCharType="end"/>
    </w:r>
    <w:r>
      <w:rPr>
        <w:sz w:val="20"/>
        <w:szCs w:val="20"/>
      </w:rPr>
      <w:t xml:space="preserve"> of </w:t>
    </w:r>
    <w:r>
      <w:rPr>
        <w:sz w:val="20"/>
        <w:szCs w:val="20"/>
      </w:rPr>
      <w:fldChar w:fldCharType="begin"/>
      <w:instrText xml:space="preserve">NUMPAGES</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right"/>
    </w:pPr>
    <w:r>
      <w:rPr>
        <w:color w:val="666666"/>
        <w:sz w:val="20"/>
        <w:szCs w:val="20"/>
      </w:rPr>
      <w:t xml:space="preserve">Loan Limit Optimization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bullet"/>
      <w:lvlText w:val="•"/>
      <w:lvlJc w:val="left"/>
      <w:pPr>
        <w:ind w:left="720" w:hanging="360"/>
      </w:pPr>
    </w:lvl>
  </w:abstractNum>
  <w:abstractNum w:abstractNumId="3" w15:restartNumberingAfterBreak="0">
    <w:multiLevelType w:val="hybridMultilevel"/>
    <w:lvl w:ilvl="0" w15:tentative="1">
      <w:start w:val="1"/>
      <w:numFmt w:val="decimal"/>
      <w:lvlText w:val="%1."/>
      <w:lvlJc w:val="left"/>
      <w:pPr>
        <w:ind w:left="720" w:hanging="360"/>
      </w:pPr>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sz w:val="24"/>
        <w:szCs w:val="24"/>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color w:val="0563C1"/>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Title">
    <w:name w:val="Title"/>
    <w:basedOn w:val="Normal"/>
    <w:pPr>
      <w:spacing w:before="240" w:after="120"/>
      <w:jc w:val="center"/>
    </w:pPr>
    <w:rPr>
      <w:rFonts w:ascii="Arial" w:cs="Arial" w:eastAsia="Arial" w:hAnsi="Arial"/>
      <w:b/>
      <w:bCs/>
      <w:color w:val="000000"/>
      <w:sz w:val="56"/>
      <w:szCs w:val="56"/>
    </w:rPr>
  </w:style>
  <w:style w:type="paragraph" w:styleId="Heading1">
    <w:name w:val="Heading 1"/>
    <w:basedOn w:val="Normal"/>
    <w:next w:val="Normal"/>
    <w:qFormat/>
    <w:pPr>
      <w:spacing w:before="320" w:after="160"/>
      <w:outlineLvl w:val="0"/>
    </w:pPr>
    <w:rPr>
      <w:rFonts w:ascii="Arial" w:cs="Arial" w:eastAsia="Arial" w:hAnsi="Arial"/>
      <w:b/>
      <w:bCs/>
      <w:color w:val="000000"/>
      <w:sz w:val="32"/>
      <w:szCs w:val="32"/>
    </w:rPr>
  </w:style>
  <w:style w:type="paragraph" w:styleId="Heading2">
    <w:name w:val="Heading 2"/>
    <w:basedOn w:val="Normal"/>
    <w:next w:val="Normal"/>
    <w:qFormat/>
    <w:pPr>
      <w:spacing w:before="240" w:after="120"/>
      <w:outlineLvl w:val="1"/>
    </w:pPr>
    <w:rPr>
      <w:rFonts w:ascii="Arial" w:cs="Arial" w:eastAsia="Arial" w:hAnsi="Arial"/>
      <w:b/>
      <w:bCs/>
      <w:color w:val="000000"/>
      <w:sz w:val="28"/>
      <w:szCs w:val="28"/>
    </w:rPr>
  </w:style>
  <w:style w:type="paragraph" w:styleId="Heading3">
    <w:name w:val="Heading 3"/>
    <w:basedOn w:val="Normal"/>
    <w:next w:val="Normal"/>
    <w:qFormat/>
    <w:pPr>
      <w:spacing w:before="180" w:after="100"/>
      <w:outlineLvl w:val="2"/>
    </w:pPr>
    <w:rPr>
      <w:rFonts w:ascii="Arial" w:cs="Arial" w:eastAsia="Arial" w:hAnsi="Arial"/>
      <w:b/>
      <w:bCs/>
      <w:color w:val="000000"/>
      <w:sz w:val="26"/>
      <w:szCs w:val="26"/>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f81c75f11752a3edbb577933fd362e9480366346.png"/><Relationship Id="rId9" Type="http://schemas.openxmlformats.org/officeDocument/2006/relationships/image" Target="media/e76fd1b9ead4248471e264bf9bc8dce57696878e.png"/><Relationship Id="rId10" Type="http://schemas.openxmlformats.org/officeDocument/2006/relationships/image" Target="media/39ab1b63d0f50d81a6ce12ea363a95ba50ce6713.png"/><Relationship Id="rId11" Type="http://schemas.openxmlformats.org/officeDocument/2006/relationships/image" Target="media/29af573d9aef316dbab9ecaf3b615f10f5969be5.png"/><Relationship Id="rId12"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2025-10-27T10:00:50.927Z</dcterms:created>
  <dcterms:modified xsi:type="dcterms:W3CDTF">2025-10-27T10:00:50.928Z</dcterms:modified>
</cp:coreProperties>
</file>

<file path=docProps/custom.xml><?xml version="1.0" encoding="utf-8"?>
<Properties xmlns="http://schemas.openxmlformats.org/officeDocument/2006/custom-properties" xmlns:vt="http://schemas.openxmlformats.org/officeDocument/2006/docPropsVTypes"/>
</file>