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  <w:r>
        <w:rPr>
          <w:rFonts w:ascii="Arial" w:cs="Arial" w:eastAsia="Arial" w:hAnsi="Arial"/>
          <w:b/>
          <w:bCs/>
          <w:color w:val="2B3178"/>
          <w:sz w:val="48"/>
          <w:szCs w:val="48"/>
        </w:rPr>
        <w:t xml:space="preserve">What Your Union Secured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 Draft Memorandum of Agreement — Summary for Members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★ Ratification vote required. </w:t>
            </w:r>
            <w:r>
              <w:rPr>
                <w:rFonts w:ascii="Arial" w:cs="Arial" w:eastAsia="Arial" w:hAnsi="Arial"/>
                <w:color w:val="7B5800"/>
                <w:sz w:val="20"/>
                <w:szCs w:val="20"/>
              </w:rPr>
              <w:t xml:space="preserve">The MOA (dated May 22, 2026) takes effect only upon a membership YES vote. Until ratified, existing terms remain in effect. </w:t>
            </w: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Check your Utica email for voting instructions.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Six months of intensive negotiations — 34+ hours in April and 68.5 hours in May alone — grounded in member surveys, grievance data, retrenchment meeting feedback, and advice from AAUP national financial experts and our labor lawyer. Here is what your union secured.</w:t>
      </w:r>
    </w:p>
    <w:p>
      <w:pPr>
        <w:pBdr>
          <w:bottom w:val="single" w:color="8B1A1A" w:sz="6"/>
        </w:pBdr>
        <w:spacing w:after="0" w:before="140"/>
      </w:pPr>
      <w:r>
        <w:t xml:space="preserve"/>
      </w:r>
    </w:p>
    <w:p>
      <w:pPr>
        <w:pBdr>
          <w:bottom w:val="none"/>
        </w:pBdr>
        <w:shd w:fill="2B3178" w:val="clear"/>
        <w:spacing w:after="0" w:before="2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01  Shared Sacrifice, Financial Resilience</w:t>
      </w:r>
    </w:p>
    <w:p>
      <w:pPr>
        <w:shd w:fill="2B3178" w:val="clear"/>
        <w:spacing w:after="100" w:before="0"/>
        <w:ind w:left="120" w:right="120"/>
      </w:pPr>
      <w:r>
        <w:rPr>
          <w:rFonts w:ascii="Arial" w:cs="Arial" w:eastAsia="Arial" w:hAnsi="Arial"/>
          <w:i/>
          <w:iCs/>
          <w:color w:val="C5CAE9"/>
          <w:sz w:val="18"/>
          <w:szCs w:val="18"/>
        </w:rPr>
        <w:t xml:space="preserve">Defined contribution — with a legally binding salary growth roadmap through 2030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Salary freeze: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AY 2026–27 salaries frozen at January 2026 levels (3.5% below temporarily restored levels) — a finite, defined contribution, not open-ended.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Growth roadmap: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2.5% raise in AY 2027–28 • 2.75% in 2028–29 • 3.0% in 2029–30, plus fixed-dollar additions and DOE benchmark bonuses. All contractually binding.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Retirement: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Employer retirement contributions temporarily reduced starting August 2026, with full restoration to original amounts by August 1, 2029 — legally binding. Your tier status is not affected during the reduction period.</w:t>
      </w:r>
    </w:p>
    <w:p>
      <w:pPr>
        <w:pBdr>
          <w:bottom w:val="none"/>
        </w:pBdr>
        <w:shd w:fill="2B3178" w:val="clear"/>
        <w:spacing w:after="0" w:before="2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02  Voluntary &amp; Involuntary Separation Options</w:t>
      </w:r>
    </w:p>
    <w:p>
      <w:pPr>
        <w:shd w:fill="2B3178" w:val="clear"/>
        <w:spacing w:after="100" w:before="0"/>
        <w:ind w:left="120" w:right="120"/>
      </w:pPr>
      <w:r>
        <w:rPr>
          <w:rFonts w:ascii="Arial" w:cs="Arial" w:eastAsia="Arial" w:hAnsi="Arial"/>
          <w:i/>
          <w:iCs/>
          <w:color w:val="C5CAE9"/>
          <w:sz w:val="18"/>
          <w:szCs w:val="18"/>
        </w:rPr>
        <w:t xml:space="preserve">For the first time, if you’re retrenched, you choose what comes next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If retrenched: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Option A — Severance: 3 months gross salary + 12 months continued health insurance. Unemployment will not be contested.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F3A"/>
          <w:sz w:val="20"/>
          <w:szCs w:val="20"/>
        </w:rPr>
        <w:t xml:space="preserve">Option B — Half-Time Off-Ramp: Work half-load for one full academic year at half salary, full benefits. Unemployment will not be contested at the 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F3A"/>
          <w:sz w:val="20"/>
          <w:szCs w:val="20"/>
        </w:rPr>
        <w:t xml:space="preserve">Option C — Retirement: If CBA-eligible, receive all retirement benefits + university covers your health insurance contributions for up to 3 years.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All options include: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Under all three options: full reimbursement of all salary and retirement reductions from AY 2024–25, 2025–26, and 2026–27, plus tuition benefits for you and your immediate family.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Voluntary options: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Transitional Sabbatical (new): At least 2 guaranteed per year. 10+ years of service, commit to December 31 retirement → full semester at full pay, no duties. Apply by January 25.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F3A"/>
          <w:sz w:val="20"/>
          <w:szCs w:val="20"/>
        </w:rPr>
        <w:t xml:space="preserve">Voluntary Half-Time Off-Ramp: Up to 2 years at half-load, half-salary, full benefits, full rank. Meeting attendance and admissions events are explicitly not expected during the off-ramp.</w:t>
      </w:r>
    </w:p>
    <w:p>
      <w:pPr>
        <w:pBdr>
          <w:bottom w:val="none"/>
        </w:pBdr>
        <w:shd w:fill="2B3178" w:val="clear"/>
        <w:spacing w:after="0" w:before="2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03  First-Ever AI Protections</w:t>
      </w:r>
    </w:p>
    <w:p>
      <w:pPr>
        <w:shd w:fill="2B3178" w:val="clear"/>
        <w:spacing w:after="100" w:before="0"/>
        <w:ind w:left="120" w:right="120"/>
      </w:pPr>
      <w:r>
        <w:rPr>
          <w:rFonts w:ascii="Arial" w:cs="Arial" w:eastAsia="Arial" w:hAnsi="Arial"/>
          <w:i/>
          <w:iCs/>
          <w:color w:val="C5CAE9"/>
          <w:sz w:val="18"/>
          <w:szCs w:val="18"/>
        </w:rPr>
        <w:t xml:space="preserve">Nine new contractual protections governing how the university may use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F3A"/>
          <w:sz w:val="20"/>
          <w:szCs w:val="20"/>
        </w:rPr>
        <w:t xml:space="preserve">No AI surveillance of your performance or evaluation.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F3A"/>
          <w:sz w:val="20"/>
          <w:szCs w:val="20"/>
        </w:rPr>
        <w:t xml:space="preserve">No AI in tenure, promotion, reappointment, discipline, or grievance decisions.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F3A"/>
          <w:sz w:val="20"/>
          <w:szCs w:val="20"/>
        </w:rPr>
        <w:t xml:space="preserve">Right to opt out of any AI platform without penalty — as long as you can still meet contractual obligations.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F3A"/>
          <w:sz w:val="20"/>
          <w:szCs w:val="20"/>
        </w:rPr>
        <w:t xml:space="preserve">No AI monitoring of protected union organizing or concerted activity.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F3A"/>
          <w:sz w:val="20"/>
          <w:szCs w:val="20"/>
        </w:rPr>
        <w:t xml:space="preserve">120-day advance notice before any new AI educational technology or learning analytics tool is implemented.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F3A"/>
          <w:sz w:val="20"/>
          <w:szCs w:val="20"/>
        </w:rPr>
        <w:t xml:space="preserve">University cannot authorize third parties to mine or train algorithms on your personally identifiable information (PII).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F3A"/>
          <w:sz w:val="20"/>
          <w:szCs w:val="20"/>
        </w:rPr>
        <w:t xml:space="preserve">Joint Labor Management Technology Task Force established to evaluate AI procurement and its impact on working conditions.</w:t>
      </w:r>
    </w:p>
    <w:p>
      <w:pPr>
        <w:pBdr>
          <w:bottom w:val="none"/>
        </w:pBdr>
        <w:shd w:fill="2B3178" w:val="clear"/>
        <w:spacing w:after="0" w:before="2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04  Streamlined Workload</w:t>
      </w:r>
    </w:p>
    <w:p>
      <w:pPr>
        <w:shd w:fill="2B3178" w:val="clear"/>
        <w:spacing w:after="100" w:before="0"/>
        <w:ind w:left="120" w:right="120"/>
      </w:pPr>
      <w:r>
        <w:rPr>
          <w:rFonts w:ascii="Arial" w:cs="Arial" w:eastAsia="Arial" w:hAnsi="Arial"/>
          <w:i/>
          <w:iCs/>
          <w:color w:val="C5CAE9"/>
          <w:sz w:val="18"/>
          <w:szCs w:val="18"/>
        </w:rPr>
        <w:t xml:space="preserve">Fewer reviews, fewer hoops, fewer pressure points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Tenure track: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Years 1 and 4 of the tenure track are now automatic reappointments — you cannot be non-renewed in those years except for just cause or retrenchment.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Tenure + promotion: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For TT faculty hired on or after August 1, 2026: tenure = simultaneous promotion. One application, one set of meetings, one decision.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Emeritus: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Emeritus status granted automatically upon meeting criteria (10+ years, good standing, irrevocable retirement declaration) — no faculty vote required. Retroactive for those retired on or before May 31, 2026.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Outside employment: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Prior Provost approval before taking paid outside professional work is eliminated. If an actual conflict arises, you must be met with first, may bring a union rep, and may continue the work during any appeal.</w:t>
      </w:r>
    </w:p>
    <w:p>
      <w:pPr>
        <w:pBdr>
          <w:bottom w:val="none"/>
        </w:pBdr>
        <w:shd w:fill="2B3178" w:val="clear"/>
        <w:spacing w:after="0" w:before="2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05  Addressing Administrative Overreach</w:t>
      </w:r>
    </w:p>
    <w:p>
      <w:pPr>
        <w:shd w:fill="2B3178" w:val="clear"/>
        <w:spacing w:after="100" w:before="0"/>
        <w:ind w:left="120" w:right="120"/>
      </w:pPr>
      <w:r>
        <w:rPr>
          <w:rFonts w:ascii="Arial" w:cs="Arial" w:eastAsia="Arial" w:hAnsi="Arial"/>
          <w:i/>
          <w:iCs/>
          <w:color w:val="C5CAE9"/>
          <w:sz w:val="18"/>
          <w:szCs w:val="18"/>
        </w:rPr>
        <w:t xml:space="preserve">Non-attendance at meetings can no longer be used against you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Meeting attendance: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Non-attendance at Faculty Senate, university meetings, Commencement, and Convocation shall not be used punitively in any disciplinary procedure.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F3A"/>
          <w:sz w:val="20"/>
          <w:szCs w:val="20"/>
        </w:rPr>
        <w:t xml:space="preserve">All meetings must provide a remote option where possible.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Admissions events: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The requirement to attend at least one on-campus admissions event per year is fully stricken.</w:t>
      </w:r>
    </w:p>
    <w:p>
      <w:pPr>
        <w:pBdr>
          <w:bottom w:val="none"/>
        </w:pBdr>
        <w:shd w:fill="2B3178" w:val="clear"/>
        <w:spacing w:after="0" w:before="2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06  Increased Transparency &amp; Accountability</w:t>
      </w:r>
    </w:p>
    <w:p>
      <w:pPr>
        <w:shd w:fill="2B3178" w:val="clear"/>
        <w:spacing w:after="100" w:before="0"/>
        <w:ind w:left="120" w:right="120"/>
      </w:pPr>
      <w:r>
        <w:rPr>
          <w:rFonts w:ascii="Arial" w:cs="Arial" w:eastAsia="Arial" w:hAnsi="Arial"/>
          <w:i/>
          <w:iCs/>
          <w:color w:val="C5CAE9"/>
          <w:sz w:val="18"/>
          <w:szCs w:val="18"/>
        </w:rPr>
        <w:t xml:space="preserve">More visibility into finances, committees, and how decisions are made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Financial transparency: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University must provide AAUP-Utica with audited financial statements, the DOE financial ratio calculation, and the Debt Service Coverage Ratio.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Committee transparency: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Twice each year, the university must publish a complete roster of all non-departmental committees, task forces, and workgroups — including purpose, every member’s name and affiliation, how they were selected, and the expected end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F3A"/>
          <w:sz w:val="20"/>
          <w:szCs w:val="20"/>
        </w:rPr>
        <w:t xml:space="preserve">Expanded union voice: </w:t>
      </w:r>
      <w:r>
        <w:rPr>
          <w:rFonts w:ascii="Arial" w:cs="Arial" w:eastAsia="Arial" w:hAnsi="Arial"/>
          <w:color w:val="1A1F3A"/>
          <w:sz w:val="20"/>
          <w:szCs w:val="20"/>
        </w:rPr>
        <w:t xml:space="preserve">AAUP-Utica representation in Meet &amp; Discuss meetings increases from 2 to 4 members, with jointly prepared agendas.</w:t>
      </w:r>
    </w:p>
    <w:p>
      <w:pPr>
        <w:pBdr>
          <w:bottom w:val="none"/>
        </w:pBdr>
        <w:shd w:fill="2B3178" w:val="clear"/>
        <w:spacing w:after="0" w:before="2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07  New Benefit: On-Campus Housing Option</w:t>
      </w:r>
    </w:p>
    <w:p>
      <w:pPr>
        <w:shd w:fill="2B3178" w:val="clear"/>
        <w:spacing w:after="100" w:before="0"/>
        <w:ind w:left="120" w:right="120"/>
      </w:pPr>
      <w:r>
        <w:rPr>
          <w:rFonts w:ascii="Arial" w:cs="Arial" w:eastAsia="Arial" w:hAnsi="Arial"/>
          <w:i/>
          <w:iCs/>
          <w:color w:val="C5CAE9"/>
          <w:sz w:val="18"/>
          <w:szCs w:val="18"/>
        </w:rPr>
        <w:t xml:space="preserve">A practical option for faculty in transition or new hires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F3A"/>
          <w:sz w:val="20"/>
          <w:szCs w:val="20"/>
        </w:rPr>
        <w:t xml:space="preserve">Bargaining unit members may request on-campus housing in University residential facilities through Human Resources, first-come first-served basis.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F3A"/>
          <w:sz w:val="20"/>
          <w:szCs w:val="20"/>
        </w:rPr>
        <w:t xml:space="preserve">Private bathroom included. University’s standard monthly rate less a 10% member discount. Term-based agreements (Fall, Spring, Summer), renewable each semester.</w:t>
      </w:r>
    </w:p>
    <w:p>
      <w:pPr>
        <w:pBdr>
          <w:bottom w:val="single" w:color="8B1A1A" w:sz="6"/>
        </w:pBdr>
        <w:spacing w:after="0" w:before="14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/>
              <w:left w:val="none"/>
              <w:bottom w:val="none"/>
              <w:right w:val="none"/>
            </w:tcBorders>
            <w:shd w:fill="8B1A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Vote YES to Ratify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CDD2"/>
                <w:sz w:val="20"/>
                <w:szCs w:val="20"/>
              </w:rPr>
              <w:t xml:space="preserve">Voting instructions will arrive via your Utica University email. If you haven’t received them, contact your AAUP-Utica representative.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Questions? Full details, sources, and your rights at: </w:t>
            </w:r>
            <w:hyperlink w:history="1" r:id="rId2baclbm7mrormhxnrrt9q">
              <w:r>
                <w:rPr>
                  <w:rFonts w:ascii="Arial" w:cs="Arial" w:eastAsia="Arial" w:hAnsi="Arial"/>
                  <w:b/>
                  <w:bCs/>
                  <w:color w:val="FFFFFF"/>
                  <w:sz w:val="20"/>
                  <w:szCs w:val="20"/>
                  <w:u w:val="single"/>
                </w:rPr>
                <w:t xml:space="preserve">https://aauputica.org/contract-guide</w:t>
              </w:r>
            </w:hyperlink>
          </w:p>
        </w:tc>
      </w:tr>
    </w:tbl>
    <w:sectPr>
      <w:headerReference w:type="default" r:id="rId7"/>
      <w:footerReference w:type="default" r:id="rId8"/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6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888888"/>
        <w:sz w:val="16"/>
        <w:szCs w:val="16"/>
      </w:rPr>
      <w:t xml:space="preserve">Full details + sources: </w:t>
    </w:r>
    <w:hyperlink w:history="1" r:id="rIdkskt-d39doiiw-mjfaxm4">
      <w:r>
        <w:rPr>
          <w:rFonts w:ascii="Arial" w:cs="Arial" w:eastAsia="Arial" w:hAnsi="Arial"/>
          <w:color w:val="2B3178"/>
          <w:sz w:val="16"/>
          <w:szCs w:val="16"/>
          <w:u w:val="single"/>
        </w:rPr>
        <w:t xml:space="preserve">https://aauputica.org/contract-guide</w:t>
      </w:r>
    </w:hyperlink>
    <w:r>
      <w:rPr>
        <w:rFonts w:ascii="Arial" w:cs="Arial" w:eastAsia="Arial" w:hAnsi="Arial"/>
      </w:rPr>
      <w:t xml:space="preserve">	</w:t>
    </w:r>
    <w:hyperlink w:history="1" r:id="rIdl6tcz_gwa2mmy1-awmdvt">
      <w:r>
        <w:rPr>
          <w:rFonts w:ascii="Arial" w:cs="Arial" w:eastAsia="Arial" w:hAnsi="Arial"/>
          <w:color w:val="8B1A1A"/>
          <w:sz w:val="16"/>
          <w:szCs w:val="16"/>
          <w:u w:val="single"/>
        </w:rPr>
        <w:t xml:space="preserve">Read the full draft MOA →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A1A" w:sz="12"/>
      </w:pBdr>
      <w:tabs>
        <w:tab w:val="right" w:pos="9026"/>
      </w:tabs>
      <w:spacing w:after="60" w:before="0"/>
    </w:pPr>
    <w:r>
      <w:rPr>
        <w:rFonts w:ascii="Arial" w:cs="Arial" w:eastAsia="Arial" w:hAnsi="Arial"/>
        <w:b/>
        <w:bCs/>
        <w:color w:val="8B1A1A"/>
        <w:sz w:val="22"/>
        <w:szCs w:val="22"/>
      </w:rPr>
      <w:t xml:space="preserve">AAUP-UTICA</w:t>
    </w:r>
    <w:r>
      <w:rPr>
        <w:rFonts w:ascii="Arial" w:cs="Arial" w:eastAsia="Arial" w:hAnsi="Arial"/>
        <w:color w:val="555555"/>
        <w:sz w:val="20"/>
        <w:szCs w:val="20"/>
      </w:rPr>
      <w:t xml:space="preserve">  |  2026 Proposed Memorandum of Agreement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DRAFT — PENDING RATIFICATION VOTE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baclbm7mrormhxnrrt9q" Type="http://schemas.openxmlformats.org/officeDocument/2006/relationships/hyperlink" Target="https://aauputica.org/contract-guid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kskt-d39doiiw-mjfaxm4" Type="http://schemas.openxmlformats.org/officeDocument/2006/relationships/hyperlink" Target="https://aauputica.org/contract-guide" TargetMode="External"/><Relationship Id="rIdl6tcz_gwa2mmy1-awmdvt" Type="http://schemas.openxmlformats.org/officeDocument/2006/relationships/hyperlink" Target="https://aauputica.org/wp-content/uploads/2026/05/16.-MOA-and-Appendices-In-Full-Draft_5-22-26.pdf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2026-06-01T23:18:06.968Z</dcterms:created>
  <dcterms:modified xsi:type="dcterms:W3CDTF">2026-06-01T23:18:06.968Z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