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B515C" w14:textId="4B5312BA" w:rsidR="008C5F78" w:rsidRDefault="00526010" w:rsidP="00526010">
      <w:pPr>
        <w:jc w:val="center"/>
        <w:rPr>
          <w:rFonts w:ascii="Times New Roman" w:hAnsi="Times New Roman" w:cs="Times New Roman"/>
          <w:sz w:val="24"/>
          <w:szCs w:val="24"/>
        </w:rPr>
      </w:pPr>
      <w:r w:rsidRPr="00526010">
        <w:rPr>
          <w:rFonts w:ascii="Times New Roman" w:hAnsi="Times New Roman" w:cs="Times New Roman"/>
          <w:sz w:val="24"/>
          <w:szCs w:val="24"/>
        </w:rPr>
        <w:t>Производственная практика (научно-исследовательская работа)</w:t>
      </w:r>
    </w:p>
    <w:p w14:paraId="4D025804" w14:textId="0D297E8E" w:rsidR="00526010" w:rsidRDefault="0070336D" w:rsidP="0052601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Вариативная</w:t>
      </w:r>
      <w:r w:rsidR="00526010">
        <w:rPr>
          <w:rFonts w:ascii="Times New Roman" w:hAnsi="Times New Roman" w:cs="Times New Roman"/>
          <w:sz w:val="24"/>
          <w:szCs w:val="24"/>
        </w:rPr>
        <w:t xml:space="preserve"> самостоятельная работа </w:t>
      </w:r>
      <w:r>
        <w:rPr>
          <w:rFonts w:ascii="Times New Roman" w:hAnsi="Times New Roman" w:cs="Times New Roman"/>
          <w:sz w:val="24"/>
          <w:szCs w:val="24"/>
        </w:rPr>
        <w:t>2.1</w:t>
      </w:r>
      <w:r w:rsidR="00526010">
        <w:rPr>
          <w:rFonts w:ascii="Times New Roman" w:hAnsi="Times New Roman" w:cs="Times New Roman"/>
          <w:sz w:val="24"/>
          <w:szCs w:val="24"/>
        </w:rPr>
        <w:t>.</w:t>
      </w:r>
    </w:p>
    <w:p w14:paraId="5F4F642B" w14:textId="4AFAD309" w:rsidR="00526010" w:rsidRDefault="00526010" w:rsidP="00526010">
      <w:pPr>
        <w:rPr>
          <w:rFonts w:ascii="Times New Roman" w:hAnsi="Times New Roman" w:cs="Times New Roman"/>
          <w:sz w:val="24"/>
          <w:szCs w:val="24"/>
        </w:rPr>
      </w:pPr>
      <w:r w:rsidRPr="00526010">
        <w:rPr>
          <w:rFonts w:ascii="Times New Roman" w:hAnsi="Times New Roman" w:cs="Times New Roman"/>
          <w:b/>
          <w:bCs/>
          <w:sz w:val="24"/>
          <w:szCs w:val="24"/>
        </w:rPr>
        <w:t>Выполнила</w:t>
      </w:r>
      <w:r>
        <w:rPr>
          <w:rFonts w:ascii="Times New Roman" w:hAnsi="Times New Roman" w:cs="Times New Roman"/>
          <w:sz w:val="24"/>
          <w:szCs w:val="24"/>
        </w:rPr>
        <w:t xml:space="preserve">: студент группы </w:t>
      </w:r>
      <w:r w:rsidRPr="00526010">
        <w:rPr>
          <w:rFonts w:ascii="Times New Roman" w:hAnsi="Times New Roman" w:cs="Times New Roman"/>
          <w:sz w:val="24"/>
          <w:szCs w:val="24"/>
        </w:rPr>
        <w:t>1ом_КЭО/24</w:t>
      </w:r>
      <w:r>
        <w:rPr>
          <w:rFonts w:ascii="Times New Roman" w:hAnsi="Times New Roman" w:cs="Times New Roman"/>
          <w:sz w:val="24"/>
          <w:szCs w:val="24"/>
        </w:rPr>
        <w:t xml:space="preserve"> Леонтьева Анна Викторовна</w:t>
      </w:r>
    </w:p>
    <w:p w14:paraId="137ECE6C" w14:textId="3B26D532" w:rsidR="00526010" w:rsidRDefault="00526010" w:rsidP="00526010">
      <w:pPr>
        <w:rPr>
          <w:rFonts w:ascii="Times New Roman" w:hAnsi="Times New Roman" w:cs="Times New Roman"/>
          <w:sz w:val="24"/>
          <w:szCs w:val="24"/>
        </w:rPr>
      </w:pPr>
      <w:r w:rsidRPr="00526010">
        <w:rPr>
          <w:rFonts w:ascii="Times New Roman" w:hAnsi="Times New Roman" w:cs="Times New Roman"/>
          <w:b/>
          <w:bCs/>
          <w:sz w:val="24"/>
          <w:szCs w:val="24"/>
        </w:rPr>
        <w:t>Задание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70336D">
        <w:rPr>
          <w:rFonts w:ascii="Times New Roman" w:hAnsi="Times New Roman" w:cs="Times New Roman"/>
          <w:sz w:val="24"/>
          <w:szCs w:val="24"/>
        </w:rPr>
        <w:t>с</w:t>
      </w:r>
      <w:r w:rsidR="0070336D" w:rsidRPr="0070336D">
        <w:rPr>
          <w:rFonts w:ascii="Times New Roman" w:hAnsi="Times New Roman" w:cs="Times New Roman"/>
          <w:sz w:val="24"/>
          <w:szCs w:val="24"/>
        </w:rPr>
        <w:t>оздать электронный глоссарий по теме исследования.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526010">
        <w:rPr>
          <w:rFonts w:ascii="Times New Roman" w:hAnsi="Times New Roman" w:cs="Times New Roman"/>
          <w:b/>
          <w:bCs/>
          <w:sz w:val="24"/>
          <w:szCs w:val="24"/>
        </w:rPr>
        <w:t>Тема магистерской диссертации</w:t>
      </w:r>
      <w:r>
        <w:rPr>
          <w:rFonts w:ascii="Times New Roman" w:hAnsi="Times New Roman" w:cs="Times New Roman"/>
          <w:sz w:val="24"/>
          <w:szCs w:val="24"/>
        </w:rPr>
        <w:t>: р</w:t>
      </w:r>
      <w:r w:rsidRPr="00526010">
        <w:rPr>
          <w:rFonts w:ascii="Times New Roman" w:hAnsi="Times New Roman" w:cs="Times New Roman"/>
          <w:sz w:val="24"/>
          <w:szCs w:val="24"/>
        </w:rPr>
        <w:t>азработка дидактических материалов для корпоративной подготовки педагогов в области графического дизайна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2310019" w14:textId="12C45A76" w:rsidR="009D7328" w:rsidRDefault="0070336D" w:rsidP="0070336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Глоссарий</w:t>
      </w:r>
    </w:p>
    <w:p w14:paraId="24C9F8EB" w14:textId="2A14BAA9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Глоссарий по теме исследования - разработка дидактических материалов для корпоративной подготовки педагогов в области графического дизайна</w:t>
      </w:r>
    </w:p>
    <w:p w14:paraId="2469720B" w14:textId="7849ABE6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Адаптивность дидактических материалов – Способность дидактических материалов подстраиваться под индивидуальные потребности и уровень подготовки обучающихся.</w:t>
      </w:r>
    </w:p>
    <w:p w14:paraId="0F1B03A6" w14:textId="3D5493D6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Андрагогика – Раздел педагогики, изучающий особенности обучения взрослых.</w:t>
      </w:r>
    </w:p>
    <w:p w14:paraId="17237FEA" w14:textId="70B84731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Блендéд лёнинг (Blended learning) – Смешанное обучение, сочетающее онлайн- и офлайн-формы обучения.</w:t>
      </w:r>
    </w:p>
    <w:p w14:paraId="3715E4F9" w14:textId="14D27B51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Брендбук – Официальный документ компании, содержащий описание ключевых элементов бренда, включая логотип, фирменные цвета и шрифты.</w:t>
      </w:r>
    </w:p>
    <w:p w14:paraId="7309072D" w14:textId="69D193D6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Векторная графика – Изображения, построенные на основе математических уравнений, позволяющие масштабирование без потери качества.</w:t>
      </w:r>
    </w:p>
    <w:p w14:paraId="1405C082" w14:textId="28216889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Визуализация информации – Представление данных и идей в графической форме для облегчения восприятия и понимания.</w:t>
      </w:r>
    </w:p>
    <w:p w14:paraId="756E8FDC" w14:textId="24B429E9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Визуальная коммуникация – Передача информации и идей посредством визуальных элементов.</w:t>
      </w:r>
    </w:p>
    <w:p w14:paraId="503E303C" w14:textId="2EB896D4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Дидактика – Раздел педагогики, изучающий теорию обучения и образования.</w:t>
      </w:r>
    </w:p>
    <w:p w14:paraId="6908B7FB" w14:textId="7A7F0BEB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Дидактические материалы – Учебные материалы, предназначенные для обеспечения эффективного процесса обучения.</w:t>
      </w:r>
    </w:p>
    <w:p w14:paraId="6E04B38D" w14:textId="76F92C74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Дизайн-мышление – Методология решения проблем, ориентированная на пользователя и включающая этапы эмпатии, определения проблемы, генерации идей, прототипирования и тестирования.</w:t>
      </w:r>
    </w:p>
    <w:p w14:paraId="6B8ECE61" w14:textId="502B6888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Индивидуальная образовательная траектория – Персональный путь обучения, учитывающий индивидуальные цели, потребности и возможности обучающегося.</w:t>
      </w:r>
    </w:p>
    <w:p w14:paraId="1D62671C" w14:textId="2C561621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Интерактивный контент – Дидактические материалы, предполагающие активное взаимодействие обучающегося с содержанием.</w:t>
      </w:r>
    </w:p>
    <w:p w14:paraId="03CB5F86" w14:textId="7D9BB8F7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Кейс-стади (Case study) – Метод обучения, основанный на анализе реальных или смоделированных ситуаций.</w:t>
      </w:r>
    </w:p>
    <w:p w14:paraId="542E72B2" w14:textId="5A13D8C9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Компетенции – Способность применять знания, умения и навыки для успешного выполнения определенной деятельности.</w:t>
      </w:r>
    </w:p>
    <w:p w14:paraId="465D7DE8" w14:textId="46707701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lastRenderedPageBreak/>
        <w:t>Корпоративная культура – Совокупность ценностей, убеждений, норм и правил поведения, принятых в организации.</w:t>
      </w:r>
    </w:p>
    <w:p w14:paraId="1525DA91" w14:textId="63922EFD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Корпоративное обучение – Система обучения и развития персонала внутри организации.</w:t>
      </w:r>
    </w:p>
    <w:p w14:paraId="44CC72C3" w14:textId="7A2180A4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Креативное мышление – Способность генерировать новые идеи и подходы к решению задач.</w:t>
      </w:r>
    </w:p>
    <w:p w14:paraId="3D18365F" w14:textId="72510085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Макет (в дизайне) – Предварительный эскиз или модель будущего графического продукта.</w:t>
      </w:r>
    </w:p>
    <w:p w14:paraId="1AE7B470" w14:textId="288DF2B7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Методические рекомендации – Документ, содержащий советы и указания по организации и проведению обучения.</w:t>
      </w:r>
    </w:p>
    <w:p w14:paraId="55120E1D" w14:textId="68A52ED2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Микрообучение – Обучение, основанное на небольших, сфокусированных блоках информации.</w:t>
      </w:r>
    </w:p>
    <w:p w14:paraId="0FDED5D3" w14:textId="24020E0D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Наглядность – Принцип дидактики, предполагающий использование визуальных средств для облегчения понимания материала.</w:t>
      </w:r>
    </w:p>
    <w:p w14:paraId="74DDF004" w14:textId="7DE1C171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Обратная связь (в обучении) – Информация, предоставляемая обучающемуся о его прогрессе и ошибках.</w:t>
      </w:r>
    </w:p>
    <w:p w14:paraId="1F6F0D17" w14:textId="58C6F925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Педагогический дизайн – Процесс проектирования и разработки эффективных образовательных сред и учебных материалов.</w:t>
      </w:r>
    </w:p>
    <w:p w14:paraId="388552AD" w14:textId="6450EC43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Профессиональный стандарт – Документ, определяющий требования к квалификации работника, необходимые для выполнения определенного вида профессиональной деятельности.</w:t>
      </w:r>
    </w:p>
    <w:p w14:paraId="33BDA0D3" w14:textId="0F84AECB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Растровая графика – Изображения, состоящие из пикселей, качество которых снижается при увеличении.</w:t>
      </w:r>
    </w:p>
    <w:p w14:paraId="11FA7862" w14:textId="70325D29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Сторителинг – Метод передачи информации через рассказывание историй.</w:t>
      </w:r>
    </w:p>
    <w:p w14:paraId="136851CA" w14:textId="572CEFAB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Тайм-менеджмент – Навык эффективного управления временем.</w:t>
      </w:r>
    </w:p>
    <w:p w14:paraId="093A8703" w14:textId="71F36409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Типографика – Искусство оформления печатного текста посредством набора и вёрстки.</w:t>
      </w:r>
    </w:p>
    <w:p w14:paraId="11E7056F" w14:textId="2151A335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UI/UX дизайн – Проектирование пользовательских интерфейсов (UI) и пользовательского опыта (UX).</w:t>
      </w:r>
    </w:p>
    <w:p w14:paraId="4E18923A" w14:textId="53EEFE7F" w:rsidR="00572A73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Учебное пособие – Учебное издание, дополняющее или частично заменяющее учебник.</w:t>
      </w:r>
    </w:p>
    <w:p w14:paraId="3FA8E5E4" w14:textId="046F4F7F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Коллаборативное обучение – Метод обучения, основанный на сотрудничестве и взаимодействии обучающихся.</w:t>
      </w:r>
    </w:p>
    <w:p w14:paraId="7EA4E599" w14:textId="3D496D44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Лендинг – Одностраничный веб-сайт, предназначенный для привлечения внимания к определенному продукту или услуге.</w:t>
      </w:r>
    </w:p>
    <w:p w14:paraId="541CD4B2" w14:textId="44F19109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Мокап – Визуальное представление дизайна продукта в реальных условиях использования.</w:t>
      </w:r>
    </w:p>
    <w:p w14:paraId="71189BCF" w14:textId="77777777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Нейросети (в дизайне) – Использование алгоритмов машинного обучения для автоматизации и улучшения процессов дизайна.</w:t>
      </w:r>
    </w:p>
    <w:p w14:paraId="581E4AA9" w14:textId="77777777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</w:p>
    <w:p w14:paraId="660EF6D4" w14:textId="416C5B18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lastRenderedPageBreak/>
        <w:t>Персонализация обучения – Адаптация образовательного процесса под индивидуальные особенности и потребности обучающегося.</w:t>
      </w:r>
    </w:p>
    <w:p w14:paraId="530B9A05" w14:textId="74EF8740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Портфолио (педагога/дизайнера) – Сборник работ, демонстрирующий навыки и достижения.</w:t>
      </w:r>
    </w:p>
    <w:p w14:paraId="20BCA522" w14:textId="242492CB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Прототипирование – Создание предварительных версий продукта или интерфейса для тестирования и доработки.</w:t>
      </w:r>
    </w:p>
    <w:p w14:paraId="2D06BC69" w14:textId="2A2048FE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Рефлексия (в обучении) – Процесс самоанализа и оценки обучающимся своего опыта и результатов обучения.</w:t>
      </w:r>
    </w:p>
    <w:p w14:paraId="45225566" w14:textId="339D0A8C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Скрайбинг – Визуализация информации в процессе ее донесения с использованием рисунков и символов.</w:t>
      </w:r>
    </w:p>
    <w:p w14:paraId="2A6BD96C" w14:textId="2AAA6145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Стилизация (в дизайне) – Придание объекту или изображению характерных черт определенного стиля.</w:t>
      </w:r>
    </w:p>
    <w:p w14:paraId="1439C59A" w14:textId="656267AF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Тренажер – Интерактивное обучающее средство, имитирующее реальные условия деятельности.</w:t>
      </w:r>
    </w:p>
    <w:p w14:paraId="49A0F6D6" w14:textId="0B3099B1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Фасилитация – Процесс помощи группе людей эффективно взаимодействовать для достижения общей цели.</w:t>
      </w:r>
    </w:p>
    <w:p w14:paraId="55E258F4" w14:textId="6284CB1A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Фирменный стиль – Набор графических элементов, идентифицирующих компанию или продукт.</w:t>
      </w:r>
    </w:p>
    <w:p w14:paraId="12A62A9A" w14:textId="677B68C6" w:rsidR="0070336D" w:rsidRPr="0070336D" w:rsidRDefault="0070336D" w:rsidP="0070336D">
      <w:pPr>
        <w:rPr>
          <w:rFonts w:ascii="Times New Roman" w:hAnsi="Times New Roman" w:cs="Times New Roman"/>
          <w:sz w:val="24"/>
          <w:szCs w:val="24"/>
        </w:rPr>
      </w:pPr>
      <w:r w:rsidRPr="0070336D">
        <w:rPr>
          <w:rFonts w:ascii="Times New Roman" w:hAnsi="Times New Roman" w:cs="Times New Roman"/>
          <w:sz w:val="24"/>
          <w:szCs w:val="24"/>
        </w:rPr>
        <w:t>Электронное обучение (e-learning) – Обучение с использованием информационных и коммуникационных технологий.</w:t>
      </w:r>
    </w:p>
    <w:sectPr w:rsidR="0070336D" w:rsidRPr="007033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D385D"/>
    <w:multiLevelType w:val="hybridMultilevel"/>
    <w:tmpl w:val="FD94E0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254510"/>
    <w:multiLevelType w:val="hybridMultilevel"/>
    <w:tmpl w:val="602A9F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9209B"/>
    <w:multiLevelType w:val="hybridMultilevel"/>
    <w:tmpl w:val="604A79C0"/>
    <w:lvl w:ilvl="0" w:tplc="6C64A0EE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F78"/>
    <w:rsid w:val="001A39F2"/>
    <w:rsid w:val="00526010"/>
    <w:rsid w:val="00572A73"/>
    <w:rsid w:val="0070336D"/>
    <w:rsid w:val="008C5F78"/>
    <w:rsid w:val="009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63E69"/>
  <w15:chartTrackingRefBased/>
  <w15:docId w15:val="{DD094B9F-C3FE-4EA6-A97C-3EC0E6E28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73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757</Words>
  <Characters>4321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Милина Де Манфес</dc:creator>
  <cp:keywords/>
  <dc:description/>
  <cp:lastModifiedBy>Милина Де Манфес</cp:lastModifiedBy>
  <cp:revision>3</cp:revision>
  <dcterms:created xsi:type="dcterms:W3CDTF">2024-12-27T10:47:00Z</dcterms:created>
  <dcterms:modified xsi:type="dcterms:W3CDTF">2024-12-27T10:52:00Z</dcterms:modified>
</cp:coreProperties>
</file>