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515C" w14:textId="4B5312BA" w:rsidR="008C5F78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sz w:val="24"/>
          <w:szCs w:val="24"/>
        </w:rPr>
        <w:t>Производственная практика (научно-исследовательская работа)</w:t>
      </w:r>
    </w:p>
    <w:p w14:paraId="4D025804" w14:textId="618056F0" w:rsidR="00526010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Инвариантная самостоятельная работа 1.</w:t>
      </w:r>
      <w:r w:rsidR="00802B7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F642B" w14:textId="4AFAD309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Выполнила</w:t>
      </w:r>
      <w:r>
        <w:rPr>
          <w:rFonts w:ascii="Times New Roman" w:hAnsi="Times New Roman" w:cs="Times New Roman"/>
          <w:sz w:val="24"/>
          <w:szCs w:val="24"/>
        </w:rPr>
        <w:t xml:space="preserve">: студент группы </w:t>
      </w:r>
      <w:r w:rsidRPr="00526010">
        <w:rPr>
          <w:rFonts w:ascii="Times New Roman" w:hAnsi="Times New Roman" w:cs="Times New Roman"/>
          <w:sz w:val="24"/>
          <w:szCs w:val="24"/>
        </w:rPr>
        <w:t>1ом_КЭО/24</w:t>
      </w:r>
      <w:r>
        <w:rPr>
          <w:rFonts w:ascii="Times New Roman" w:hAnsi="Times New Roman" w:cs="Times New Roman"/>
          <w:sz w:val="24"/>
          <w:szCs w:val="24"/>
        </w:rPr>
        <w:t xml:space="preserve"> Леонтьева Анна Викторовна</w:t>
      </w:r>
    </w:p>
    <w:p w14:paraId="137ECE6C" w14:textId="0CD48492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802B7A">
        <w:rPr>
          <w:rFonts w:ascii="Times New Roman" w:hAnsi="Times New Roman" w:cs="Times New Roman"/>
          <w:sz w:val="24"/>
          <w:szCs w:val="24"/>
        </w:rPr>
        <w:t xml:space="preserve">: </w:t>
      </w:r>
      <w:r w:rsidR="00802B7A" w:rsidRPr="00802B7A">
        <w:rPr>
          <w:rFonts w:ascii="Times New Roman" w:hAnsi="Times New Roman" w:cs="Times New Roman"/>
          <w:sz w:val="24"/>
          <w:szCs w:val="24"/>
        </w:rPr>
        <w:t>провести</w:t>
      </w:r>
      <w:r w:rsidR="00802B7A" w:rsidRPr="00802B7A">
        <w:rPr>
          <w:rFonts w:ascii="Times New Roman" w:hAnsi="Times New Roman" w:cs="Times New Roman"/>
          <w:sz w:val="24"/>
          <w:szCs w:val="24"/>
        </w:rPr>
        <w:t xml:space="preserve"> сопоставительный анализ изученных источников.</w:t>
      </w:r>
      <w:r>
        <w:rPr>
          <w:rFonts w:ascii="Times New Roman" w:hAnsi="Times New Roman" w:cs="Times New Roman"/>
          <w:sz w:val="24"/>
          <w:szCs w:val="24"/>
        </w:rPr>
        <w:br/>
      </w:r>
      <w:r w:rsidRPr="00526010">
        <w:rPr>
          <w:rFonts w:ascii="Times New Roman" w:hAnsi="Times New Roman" w:cs="Times New Roman"/>
          <w:b/>
          <w:bCs/>
          <w:sz w:val="24"/>
          <w:szCs w:val="24"/>
        </w:rPr>
        <w:t>Тема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>: р</w:t>
      </w:r>
      <w:r w:rsidRPr="00526010">
        <w:rPr>
          <w:rFonts w:ascii="Times New Roman" w:hAnsi="Times New Roman" w:cs="Times New Roman"/>
          <w:sz w:val="24"/>
          <w:szCs w:val="24"/>
        </w:rPr>
        <w:t>азработка дидактических материалов для корпоративной подготовки педагогов в области графического дизайна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10019" w14:textId="32B5FFC6" w:rsidR="009D7328" w:rsidRDefault="00802B7A" w:rsidP="00802B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Сопоставительный анализ</w:t>
      </w:r>
    </w:p>
    <w:tbl>
      <w:tblPr>
        <w:tblStyle w:val="a4"/>
        <w:tblW w:w="15163" w:type="dxa"/>
        <w:tblLook w:val="04A0" w:firstRow="1" w:lastRow="0" w:firstColumn="1" w:lastColumn="0" w:noHBand="0" w:noVBand="1"/>
      </w:tblPr>
      <w:tblGrid>
        <w:gridCol w:w="2689"/>
        <w:gridCol w:w="3543"/>
        <w:gridCol w:w="3119"/>
        <w:gridCol w:w="2977"/>
        <w:gridCol w:w="2835"/>
      </w:tblGrid>
      <w:tr w:rsidR="00677DEE" w14:paraId="19E35E29" w14:textId="77777777" w:rsidTr="006A2E15">
        <w:tc>
          <w:tcPr>
            <w:tcW w:w="2689" w:type="dxa"/>
          </w:tcPr>
          <w:p w14:paraId="5D97BFC8" w14:textId="3E8F8EB5" w:rsidR="00677DEE" w:rsidRDefault="00677DEE" w:rsidP="00677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и автор</w:t>
            </w:r>
          </w:p>
        </w:tc>
        <w:tc>
          <w:tcPr>
            <w:tcW w:w="3543" w:type="dxa"/>
          </w:tcPr>
          <w:p w14:paraId="21A541A3" w14:textId="78FD2D0F" w:rsidR="00677DEE" w:rsidRDefault="00677DEE" w:rsidP="00677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Аннотация</w:t>
            </w:r>
          </w:p>
        </w:tc>
        <w:tc>
          <w:tcPr>
            <w:tcW w:w="3119" w:type="dxa"/>
          </w:tcPr>
          <w:p w14:paraId="5BD3C5DB" w14:textId="45CBF62D" w:rsidR="00677DEE" w:rsidRDefault="00677DEE" w:rsidP="00677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677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одход к обучению графическому дизайну</w:t>
            </w:r>
          </w:p>
        </w:tc>
        <w:tc>
          <w:tcPr>
            <w:tcW w:w="2977" w:type="dxa"/>
          </w:tcPr>
          <w:p w14:paraId="665A52E0" w14:textId="08812EF8" w:rsidR="00677DEE" w:rsidRDefault="00677DEE" w:rsidP="00677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Особенности корпоративного обучения</w:t>
            </w:r>
          </w:p>
        </w:tc>
        <w:tc>
          <w:tcPr>
            <w:tcW w:w="2835" w:type="dxa"/>
          </w:tcPr>
          <w:p w14:paraId="322A3FEE" w14:textId="10E45F81" w:rsidR="00677DEE" w:rsidRDefault="00677DEE" w:rsidP="00677D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эффективности дидактических материалов</w:t>
            </w:r>
          </w:p>
        </w:tc>
      </w:tr>
      <w:tr w:rsidR="00677DEE" w14:paraId="5C80011A" w14:textId="77777777" w:rsidTr="006A2E15">
        <w:tc>
          <w:tcPr>
            <w:tcW w:w="2689" w:type="dxa"/>
          </w:tcPr>
          <w:p w14:paraId="12890AAC" w14:textId="6053804E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Поровский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А. Г. Формирование компетенций художника-педагога в области графического дизайна на основе процессного подхода</w:t>
            </w:r>
          </w:p>
        </w:tc>
        <w:tc>
          <w:tcPr>
            <w:tcW w:w="3543" w:type="dxa"/>
          </w:tcPr>
          <w:p w14:paraId="2E6B2F5E" w14:textId="3868A1E2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В статье раскрывается понятие и выделяются компоненты профессиональной компетенции художника-педагога, а также рассмотрен процесс ее формирования в области графического дизайна на основе использования методологии процессного подхода.</w:t>
            </w:r>
          </w:p>
        </w:tc>
        <w:tc>
          <w:tcPr>
            <w:tcW w:w="3119" w:type="dxa"/>
          </w:tcPr>
          <w:p w14:paraId="6104FC8B" w14:textId="091EE30A" w:rsidR="00677DEE" w:rsidRPr="006A2E15" w:rsidRDefault="00426BED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Статья акцентирует процессный подход к формированию компетенций, что подразумевает поэтапное освоение навыков графического дизайна, начиная с основ и заканчивая более сложными задачами. Вероятно, делается упор на практическую деятельность и последовательное развитие профессиональных умений художника-педагога.</w:t>
            </w:r>
          </w:p>
        </w:tc>
        <w:tc>
          <w:tcPr>
            <w:tcW w:w="2977" w:type="dxa"/>
          </w:tcPr>
          <w:p w14:paraId="175940B5" w14:textId="6B857DAF" w:rsidR="00677DEE" w:rsidRPr="006A2E15" w:rsidRDefault="00426BED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Прямого упоминания корпоративного обучения может не быть, но акцент на формировании компетенций делает подход релевантным для корпоративной среды, где важен измеримый результат обучения и развитие конкретных навыков, необходимых для профессиональной деятельности педагогов.</w:t>
            </w:r>
          </w:p>
        </w:tc>
        <w:tc>
          <w:tcPr>
            <w:tcW w:w="2835" w:type="dxa"/>
          </w:tcPr>
          <w:p w14:paraId="56141BEC" w14:textId="252B7CDF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Критериями</w:t>
            </w:r>
            <w:r w:rsidR="00426BED"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эффективности будут выступать способность материалов формировать заявленные компетенции, их практическая направленность и соответствие этапам процессного обучения. Возможно, также будет учитываться мотивационный потенциал материалов для вовлечения обучающихся.</w:t>
            </w:r>
          </w:p>
        </w:tc>
      </w:tr>
      <w:tr w:rsidR="00677DEE" w14:paraId="5F7FC514" w14:textId="77777777" w:rsidTr="006A2E15">
        <w:tc>
          <w:tcPr>
            <w:tcW w:w="2689" w:type="dxa"/>
          </w:tcPr>
          <w:p w14:paraId="4FCD0B46" w14:textId="0CD5C998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Мулонов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Корытов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Методика обучения графическому дизайну (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шрифтоведение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14:paraId="083655AC" w14:textId="144E0BC1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В данной статье рассматриваются и анализируются особенности обучения композиции шрифта, который является важным элементом графического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дизайна, (шрифтового плаката или рекламы) при обучении студентов. Проанализированы характерные особенности обучения графическому дизайну и способы их использования в процессе обучения с различными методами, формами и анализа (на примере разработке шрифтовых композиций). Выявлена и обоснована необходимость использования творческих заданий и их анализа в процессе исполнения шрифтовых композиций. На основе проведенного исследования авторы проанализировали формы и методы учебно-воспитательного процесса по курсу 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шрифтоведение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с целью развития и совершенствования у студентов творческих способностей.</w:t>
            </w:r>
          </w:p>
        </w:tc>
        <w:tc>
          <w:tcPr>
            <w:tcW w:w="3119" w:type="dxa"/>
          </w:tcPr>
          <w:p w14:paraId="278167C6" w14:textId="21036D93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Статья фокусируется на методике обучения конкретному аспекту графического дизайна – 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шрифтоведению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. Подход, скорее всего, будет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теоретико-практическим, включающим изучение истории шрифтов, их классификации, принципов типографики и практические упражнения по работе со шрифтами.</w:t>
            </w:r>
          </w:p>
        </w:tc>
        <w:tc>
          <w:tcPr>
            <w:tcW w:w="2977" w:type="dxa"/>
          </w:tcPr>
          <w:p w14:paraId="2A76EAED" w14:textId="28C4905C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Применимость к корпоративному обучению будет зависеть от того, насколько 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шрифтоведение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ключевым навыком для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педагогов в конкретной корпоративной среде. Материалы могут быть адаптированы для краткосрочных курсов, фокусируясь на практическом применении знаний о шрифтах в образовательных материалах.</w:t>
            </w:r>
          </w:p>
        </w:tc>
        <w:tc>
          <w:tcPr>
            <w:tcW w:w="2835" w:type="dxa"/>
          </w:tcPr>
          <w:p w14:paraId="2F1F5154" w14:textId="456728BA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Эффективность будет оцениваться по пониманию обучающимися принципов шрифтового дизайна, их способности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анализировать и выбирать подходящие шрифты, а также применять полученные знания на практике при создании учебных материалов.</w:t>
            </w:r>
          </w:p>
        </w:tc>
      </w:tr>
      <w:tr w:rsidR="00677DEE" w14:paraId="65658FC9" w14:textId="77777777" w:rsidTr="006A2E15">
        <w:tc>
          <w:tcPr>
            <w:tcW w:w="2689" w:type="dxa"/>
          </w:tcPr>
          <w:p w14:paraId="146C83C0" w14:textId="6CD69B93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Филенко Р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Совершенствование обучения офисным пакетам средствами графического дизайна</w:t>
            </w:r>
          </w:p>
        </w:tc>
        <w:tc>
          <w:tcPr>
            <w:tcW w:w="3543" w:type="dxa"/>
          </w:tcPr>
          <w:p w14:paraId="220724AF" w14:textId="35E2AEE1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В статье описываются особенности модернизации программы повышения квалификации, направленной на изучение офисного пакета. При переходе внутри компании с одного программного продукта на другой возникает необходимость в повышении навыков персонала. Существующие программы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повышения квалификации не всегда соответствуют предъявляемым требованиям со стороны заказчика и требуют их усовершенствования. Большинство программ обучения офисным пакетам направлены на изучение технической стороны вопроса. В то же время в них необходимо рассматривать прикладные задачи, связанные с вопросами визуальных коммуникаций. Наиболее оптимальным решением может стать включение в учебную программу </w:t>
            </w:r>
            <w:proofErr w:type="gram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блоков</w:t>
            </w:r>
            <w:proofErr w:type="gram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рассматривающих основы графического дизайна. В рамках исследования данного вопроса описывается практический опыт реализации программы, в которую включены базовые элементы графического дизайна. Указаны основные вопросы, необходимые для рассмотрения в учебном курсе.</w:t>
            </w:r>
          </w:p>
        </w:tc>
        <w:tc>
          <w:tcPr>
            <w:tcW w:w="3119" w:type="dxa"/>
          </w:tcPr>
          <w:p w14:paraId="07170F71" w14:textId="1BDA8294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Статья рассматривает графический дизайн как инструмент для улучшения обучения работе с офисными пакетами. Подход, вероятно, будет прикладным, демонстрирующим, как принципы визуальной организации и дизайна могут сделать обучение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офисным программам более эффективным и понятным.</w:t>
            </w:r>
          </w:p>
        </w:tc>
        <w:tc>
          <w:tcPr>
            <w:tcW w:w="2977" w:type="dxa"/>
          </w:tcPr>
          <w:p w14:paraId="1AB80891" w14:textId="5BD8A6F2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Данная статья наиболее 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релевантна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 для корпоративного обучения педагогов, поскольку обучение работе с офисными пакетами часто является неотъемлемой частью их профессиональной подготовки. Графический дизайн предлагается как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средство повышения эффективности этого обучения.</w:t>
            </w:r>
          </w:p>
        </w:tc>
        <w:tc>
          <w:tcPr>
            <w:tcW w:w="2835" w:type="dxa"/>
          </w:tcPr>
          <w:p w14:paraId="212D6417" w14:textId="6CB9D0A0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Критериями будут выступать повышение усвояемости материала по офисным пакетам, улучшение навигации и понимания интерфейса программ, а также повышение мотивации к изучению офисных приложений за счет визуально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привлекательных материалов.</w:t>
            </w:r>
          </w:p>
        </w:tc>
      </w:tr>
      <w:tr w:rsidR="00677DEE" w14:paraId="6C4FB138" w14:textId="77777777" w:rsidTr="006A2E15">
        <w:tc>
          <w:tcPr>
            <w:tcW w:w="2689" w:type="dxa"/>
          </w:tcPr>
          <w:p w14:paraId="22F5A814" w14:textId="38DE9EC0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Андреев, А. А. Дидактика высшей школы : учебное пособие для студентов высших учебных заведений, обучающихся по педагогическим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направлениям и специальностям</w:t>
            </w:r>
          </w:p>
        </w:tc>
        <w:tc>
          <w:tcPr>
            <w:tcW w:w="3543" w:type="dxa"/>
          </w:tcPr>
          <w:p w14:paraId="453DD02C" w14:textId="482B262B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учебном пособии рассматриваются теоретические и практические основы дидактики высшей школы. Представлены ключевые дидактические принципы, методы и формы обучения, применяемые в высшем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образовании. Особое внимание уделяется организации учебного процесса, проектированию учебных занятий и оценке результатов обучения студентов педагогических направлений и специальностей. Пособие предназначено для студентов, осваивающих педагогические дисциплины, и призвано сформировать у них целостное представление о дидактических основах высшего образования.</w:t>
            </w:r>
          </w:p>
        </w:tc>
        <w:tc>
          <w:tcPr>
            <w:tcW w:w="3119" w:type="dxa"/>
          </w:tcPr>
          <w:p w14:paraId="6F67F7B5" w14:textId="021DAC9D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Данный источник непосредственно не рассматривает обучение графическому дизайну. Однако, он предлагает общие дидактические принципы и подходы к обучению в высшей школе,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которые могут быть адаптированы и применены к процессу обучения графическому дизайну.</w:t>
            </w:r>
          </w:p>
        </w:tc>
        <w:tc>
          <w:tcPr>
            <w:tcW w:w="2977" w:type="dxa"/>
          </w:tcPr>
          <w:p w14:paraId="0296BECA" w14:textId="2A035AF3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Принципы дидактики высшей школы могут быть адаптированы к особенностям корпоративного обучения, таким как ориентация на результат, практическая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направленность и ограниченное время.</w:t>
            </w:r>
          </w:p>
        </w:tc>
        <w:tc>
          <w:tcPr>
            <w:tcW w:w="2835" w:type="dxa"/>
          </w:tcPr>
          <w:p w14:paraId="6C21EB60" w14:textId="17B50EB5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Источник предлагает общие критерии эффективности учебных материалов в высшей школе, такие как научность, доступность, наглядность, систематичность и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последовательность. Эти критерии могут быть применены и к дидактическим материалам по графическому дизайну.</w:t>
            </w:r>
          </w:p>
        </w:tc>
      </w:tr>
      <w:tr w:rsidR="00677DEE" w14:paraId="6A3C25B7" w14:textId="77777777" w:rsidTr="006A2E15">
        <w:tc>
          <w:tcPr>
            <w:tcW w:w="2689" w:type="dxa"/>
          </w:tcPr>
          <w:p w14:paraId="0B3AF96D" w14:textId="201FF096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Краевский, В. В. Методология педагогики : пособие для педагогов-исследователей</w:t>
            </w:r>
          </w:p>
        </w:tc>
        <w:tc>
          <w:tcPr>
            <w:tcW w:w="3543" w:type="dxa"/>
          </w:tcPr>
          <w:p w14:paraId="707F6E90" w14:textId="3F731479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Данное пособие посвящено методологическим основам педагогических исследований. В нем раскрываются сущность и структура методологии педагогики, рассматриваются различные методы научного познания, применяемые в педагогических исследованиях. Особое внимание уделяется вопросам организации и проведения педагогического исследования, интерпретации полученных результатов и их внедрению в практику. Пособие адресовано педагогам-исследователям, аспирантам и докторантам, занимающимся научно-исследовательской деятельностью в области образования.</w:t>
            </w:r>
          </w:p>
        </w:tc>
        <w:tc>
          <w:tcPr>
            <w:tcW w:w="3119" w:type="dxa"/>
          </w:tcPr>
          <w:p w14:paraId="63C16B58" w14:textId="6FFEE2A7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Источник непосредственно не рассматривает обучение графическому дизайну. Он фокусируется на методологии педагогических исследований. Однако, он может быть полезен для разработки методологической базы для исследования эффективности дидактических материалов по графическому дизайну.</w:t>
            </w:r>
          </w:p>
        </w:tc>
        <w:tc>
          <w:tcPr>
            <w:tcW w:w="2977" w:type="dxa"/>
          </w:tcPr>
          <w:p w14:paraId="0E3FF181" w14:textId="1686FC61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Методология педагогики может помочь в разработке исследовательских подходов для изучения особенностей обучения графическому дизайну в корпоративной среде.</w:t>
            </w:r>
          </w:p>
        </w:tc>
        <w:tc>
          <w:tcPr>
            <w:tcW w:w="2835" w:type="dxa"/>
          </w:tcPr>
          <w:p w14:paraId="46208FDF" w14:textId="0F269EEA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Источник предлагает методологические подходы к оценке эффективности педагогических воздействий, которые могут быть использованы для оценки эффективности дидактических материалов по графическому дизайну.</w:t>
            </w:r>
          </w:p>
        </w:tc>
      </w:tr>
      <w:tr w:rsidR="00677DEE" w14:paraId="084B90E7" w14:textId="77777777" w:rsidTr="006A2E15">
        <w:tc>
          <w:tcPr>
            <w:tcW w:w="2689" w:type="dxa"/>
          </w:tcPr>
          <w:p w14:paraId="636E3F7F" w14:textId="503ED93C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Панфилова, А. П. Инновационные педагогические технологии : активное обучение : учебное пособие для студентов высших учебных заведений</w:t>
            </w:r>
          </w:p>
        </w:tc>
        <w:tc>
          <w:tcPr>
            <w:tcW w:w="3543" w:type="dxa"/>
          </w:tcPr>
          <w:p w14:paraId="1786D1CB" w14:textId="470FFA9C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В учебном пособии рассматриваются современные инновационные педагогические технологии, ориентированные на активизацию учебной деятельности студентов. Подробно анализируются различные методы активного обучения, такие как деловые игры, дискуссии, кейс-</w:t>
            </w: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стади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, проектная деятельность и другие. Представлены теоретические основы применения данных технологий, методические рекомендации по их внедрению в учебный процесс, а также примеры практического использования. Пособие предназначено для студентов высших учебных заведений, изучающих педагогические дисциплины, и преподавателей, стремящихся к повышению эффективности обучения.</w:t>
            </w:r>
          </w:p>
        </w:tc>
        <w:tc>
          <w:tcPr>
            <w:tcW w:w="3119" w:type="dxa"/>
          </w:tcPr>
          <w:p w14:paraId="2A2B0661" w14:textId="1622A3EA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Источник предлагает конкретные инновационные педагогические технологии активного обучения, которые могут быть применены в процессе обучения графическому дизайну. Это могут быть деловые игры, проектная деятельность, дискуссии и другие интерактивные методы.</w:t>
            </w:r>
          </w:p>
        </w:tc>
        <w:tc>
          <w:tcPr>
            <w:tcW w:w="2977" w:type="dxa"/>
          </w:tcPr>
          <w:p w14:paraId="4FA08277" w14:textId="22A1968C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Многие методы активного обучения особенно эффективны в корпоративной среде, где важна вовлеченность обучающихся и практическое применение знаний.</w:t>
            </w:r>
          </w:p>
        </w:tc>
        <w:tc>
          <w:tcPr>
            <w:tcW w:w="2835" w:type="dxa"/>
          </w:tcPr>
          <w:p w14:paraId="5BB9F728" w14:textId="3D2EB3ED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Эффективность будет оцениваться по степени вовлеченности обучающихся, активности их участия в процессе обучения, развитию практических навыков и способности применять полученные знания в реальных ситуациях.</w:t>
            </w:r>
          </w:p>
        </w:tc>
      </w:tr>
      <w:tr w:rsidR="00677DEE" w14:paraId="141B2AAF" w14:textId="77777777" w:rsidTr="006A2E15">
        <w:tc>
          <w:tcPr>
            <w:tcW w:w="2689" w:type="dxa"/>
          </w:tcPr>
          <w:p w14:paraId="3CC5BF13" w14:textId="1CDE8AE9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Юсуфбекова</w:t>
            </w:r>
            <w:proofErr w:type="spellEnd"/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, Н. Р. Общие основы педагогической инноватики : Опыт разработки теории инновационных процессов в образовании</w:t>
            </w:r>
          </w:p>
        </w:tc>
        <w:tc>
          <w:tcPr>
            <w:tcW w:w="3543" w:type="dxa"/>
          </w:tcPr>
          <w:p w14:paraId="093FFDC5" w14:textId="72B15F90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 xml:space="preserve">В монографии представлен опыт разработки теоретических основ педагогической инноватики. Раскрываются сущность и структура инновационных процессов в образовании, анализируются факторы, влияющие на их возникновение и развитие. Особое внимание уделяется классификации педагогических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инноваций, этапам их внедрения и оценке эффективности. Работа представляет интерес для исследователей в области педагогики, руководителей образовательных учреждений и всех, кто интересуется вопросами развития и модернизации системы образования.</w:t>
            </w:r>
          </w:p>
        </w:tc>
        <w:tc>
          <w:tcPr>
            <w:tcW w:w="3119" w:type="dxa"/>
          </w:tcPr>
          <w:p w14:paraId="76F71514" w14:textId="4A0F2A84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Источник непосредственно не рассматривает обучение графическому дизайну, но предлагает теоретические основы для разработки и внедрения инноваций в образовательный процесс. Это может быть полезно при создании новых, нестандартных </w:t>
            </w: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дидактических материалов по графическому дизайну.</w:t>
            </w:r>
          </w:p>
        </w:tc>
        <w:tc>
          <w:tcPr>
            <w:tcW w:w="2977" w:type="dxa"/>
          </w:tcPr>
          <w:p w14:paraId="7FF0880A" w14:textId="10EE43DE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Теория педагогической инноватики может помочь в понимании процессов внедрения новых обучающих программ и материалов в корпоративной среде, а также в преодолении сопротивления изменениям.</w:t>
            </w:r>
          </w:p>
        </w:tc>
        <w:tc>
          <w:tcPr>
            <w:tcW w:w="2835" w:type="dxa"/>
          </w:tcPr>
          <w:p w14:paraId="499FD780" w14:textId="614AFDD1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Источник может предложить критерии оценки инновационности и эффективности новых образовательных продуктов, которые могут быть применены к дидактическим материалам по графическому дизайну.</w:t>
            </w:r>
          </w:p>
        </w:tc>
      </w:tr>
      <w:tr w:rsidR="00677DEE" w14:paraId="61C8E05C" w14:textId="77777777" w:rsidTr="006A2E15">
        <w:tc>
          <w:tcPr>
            <w:tcW w:w="2689" w:type="dxa"/>
          </w:tcPr>
          <w:p w14:paraId="067F2A73" w14:textId="6AB9187B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Зимняя, И. А. Педагогическая психология : учебник для вузов</w:t>
            </w:r>
          </w:p>
        </w:tc>
        <w:tc>
          <w:tcPr>
            <w:tcW w:w="3543" w:type="dxa"/>
          </w:tcPr>
          <w:p w14:paraId="578C2CE8" w14:textId="21D1A4F0" w:rsidR="00677DEE" w:rsidRPr="006A2E15" w:rsidRDefault="00677DEE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Данный учебник представляет собой систематизированное изложение основных разделов педагогической психологии. В нем рассматриваются психологические закономерности обучения и воспитания, особенности развития личности в процессе образования, психологические аспекты деятельности педагога и обучающихся. Учебник охватывает широкий круг вопросов, связанных с психологическим обеспечением образовательного процесса, и предназначен для студентов высших учебных заведений, обучающихся по педагогическим направлениям, а также для практикующих педагогов.</w:t>
            </w:r>
          </w:p>
        </w:tc>
        <w:tc>
          <w:tcPr>
            <w:tcW w:w="3119" w:type="dxa"/>
          </w:tcPr>
          <w:p w14:paraId="37A3A3C9" w14:textId="703E3351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Источник непосредственно не рассматривает обучение графическому дизайну, но предоставляет психологические основы обучения и усвоения знаний. Понимание психологических закономерностей восприятия, внимания, памяти и мышления может быть использовано для оптимизации процесса обучения графическому дизайну и создания дидактических материалов, учитывающих особенности когнитивных процессов обучающихся.</w:t>
            </w:r>
          </w:p>
        </w:tc>
        <w:tc>
          <w:tcPr>
            <w:tcW w:w="2977" w:type="dxa"/>
          </w:tcPr>
          <w:p w14:paraId="1BCF3841" w14:textId="0D3FBFE6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Педагогическая психология помогает понять особенности обучения взрослых, их мотивацию, потребности и способы восприятия информации, что важно при разработке материалов для корпоративного обучения.</w:t>
            </w:r>
          </w:p>
        </w:tc>
        <w:tc>
          <w:tcPr>
            <w:tcW w:w="2835" w:type="dxa"/>
          </w:tcPr>
          <w:p w14:paraId="77ADCE1B" w14:textId="1AB6E8E0" w:rsidR="00677DEE" w:rsidRPr="006A2E15" w:rsidRDefault="006A2E15" w:rsidP="00802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E15">
              <w:rPr>
                <w:rFonts w:ascii="Times New Roman" w:hAnsi="Times New Roman" w:cs="Times New Roman"/>
                <w:sz w:val="24"/>
                <w:szCs w:val="24"/>
              </w:rPr>
              <w:t>Эффективность будет оцениваться по степени понимания и усвоения материала обучающимися, уровню их мотивации и вовлеченности, а также практическому применению полученных знаний и навыков, что соответствует психологическим принципам обучения.</w:t>
            </w:r>
          </w:p>
        </w:tc>
      </w:tr>
    </w:tbl>
    <w:p w14:paraId="0B222793" w14:textId="77777777" w:rsidR="00802B7A" w:rsidRDefault="00802B7A" w:rsidP="00802B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8923A" w14:textId="1417AFC0" w:rsidR="00572A73" w:rsidRPr="00677DEE" w:rsidRDefault="00572A73" w:rsidP="00677DEE">
      <w:pPr>
        <w:rPr>
          <w:rFonts w:ascii="Times New Roman" w:hAnsi="Times New Roman" w:cs="Times New Roman"/>
          <w:sz w:val="24"/>
          <w:szCs w:val="24"/>
        </w:rPr>
      </w:pPr>
    </w:p>
    <w:sectPr w:rsidR="00572A73" w:rsidRPr="00677DEE" w:rsidSect="00802B7A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85D"/>
    <w:multiLevelType w:val="hybridMultilevel"/>
    <w:tmpl w:val="FD94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510"/>
    <w:multiLevelType w:val="hybridMultilevel"/>
    <w:tmpl w:val="602A9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09B"/>
    <w:multiLevelType w:val="hybridMultilevel"/>
    <w:tmpl w:val="604A79C0"/>
    <w:lvl w:ilvl="0" w:tplc="6C64A0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8"/>
    <w:rsid w:val="00426BED"/>
    <w:rsid w:val="00526010"/>
    <w:rsid w:val="00572A73"/>
    <w:rsid w:val="00677DEE"/>
    <w:rsid w:val="006A2E15"/>
    <w:rsid w:val="006C0DF9"/>
    <w:rsid w:val="00802B7A"/>
    <w:rsid w:val="008C5F78"/>
    <w:rsid w:val="009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3E69"/>
  <w15:chartTrackingRefBased/>
  <w15:docId w15:val="{DD094B9F-C3FE-4EA6-A97C-3EC0E6E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28"/>
    <w:pPr>
      <w:ind w:left="720"/>
      <w:contextualSpacing/>
    </w:pPr>
  </w:style>
  <w:style w:type="table" w:styleId="a4">
    <w:name w:val="Table Grid"/>
    <w:basedOn w:val="a1"/>
    <w:uiPriority w:val="39"/>
    <w:rsid w:val="0067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Милина Де Манфес</dc:creator>
  <cp:keywords/>
  <dc:description/>
  <cp:lastModifiedBy>Милина Де Манфес</cp:lastModifiedBy>
  <cp:revision>4</cp:revision>
  <dcterms:created xsi:type="dcterms:W3CDTF">2024-12-27T10:18:00Z</dcterms:created>
  <dcterms:modified xsi:type="dcterms:W3CDTF">2024-12-27T10:33:00Z</dcterms:modified>
</cp:coreProperties>
</file>