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Desenvolvimento de Software com 2+ anos de experiência Expertise em Java, Spring Boot, AWS e Microsserviços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APIs REST escaláveis e de alta performance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microsserviços com implantação automatizada em AWS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Segurança e documentação Swagger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Otimização de endpoints para suportar alto volume de requisições concorrentes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  <w:r>
        <w:rPr>
          <w:rFonts w:ascii="Nunito" w:hAnsi="Nunito"/>
          <w:lang w:val="pt-BR"/>
        </w:rPr>
        <w:br/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Sistema de Rescisão em Lote - Desenvolvimento de plataforma automatizada para desligamento simultâneo de múltiplos colaboradores utilizando Java/Spring Boot e integração com ERP Protheus via REST APIs. Implementação de workflow com aprovações sequenciais, geração automática de documentos PDF e notificações via e-mail, resultando em redução de 65% no tempo de processamento e eliminação de 90% dos erros manuais.</w:t>
      </w:r>
    </w:p>
    <w:p>
      <w:r>
        <w:t>• Liderança técnica no desenvolvimento do Gateway de Pagamentos (White-label), arquitetando microsserviços em Java/Spring Boot para processar transações de Cartão e PIX, resultando em alta disponibilidade e suporte a milhares de requisições simultâneas.</w:t>
      </w:r>
    </w:p>
    <w:p>
      <w:r>
        <w:t>• Desenvolvimento de APIs REST escaláveis e de alta performance utilizando Java (Spring Boot) e arquitetura de microsserviços, com implantação automatizada em AWS via CI/CD. Responsável pela segurança, documentação Swagger e otimização de endpoints para suportar alto volume de requisições concorrentes.</w:t>
      </w:r>
    </w:p>
    <w:p>
      <w:r>
        <w:t>• Atuação com bancos de dados relacionais, realizando modelagem de dados, escrita e otimização de queries em PostgreSQL, com foco em performance, consistência e suporte a aplicações de médio e alto volume.</w:t>
      </w:r>
    </w:p>
    <w:p>
      <w:r>
        <w:t>• Implementação de comunicação assíncrona utilizando mensageria baseada em eventos (Apache Kafka), contribuindo para o desacoplamento de serviços, aumento de resiliência e processamento eficiente de mensagens.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Desenvolvimento do site principal do iPag: criação do site principal com SEO otimizado e performance 70% superior em relação ao site anterior, aumentando visibilidade online e vendas.</w:t>
      </w:r>
    </w:p>
    <w:p>
      <w:r>
        <w:t>• Sistema de multiusuários: desenvolvimento de solução que permitia que um usuário autorizado acessasse contas de outros usuários, garantindo que fintechs whitelabel pudessem gerenciar subfintechs com integridade e segurança de dados.</w:t>
      </w:r>
    </w:p>
    <w:p>
      <w:r>
        <w:t>• Gestão de ciclo completo: participação em todo o processo, do levantamento de requisitos, modelagem de dados, desenvolvimento de front-end e back-end, até testes, deploy e monitoramento contínuo.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