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5E"/>
          <w:sz w:val="48"/>
          <w:szCs w:val="48"/>
        </w:rPr>
        <w:t xml:space="preserve">Thesis Topic Proposals</w:t>
      </w:r>
    </w:p>
    <w:p>
      <w:pPr>
        <w:spacing w:after="100"/>
        <w:jc w:val="center"/>
      </w:pPr>
      <w:r>
        <w:rPr>
          <w:rFonts w:ascii="Arial" w:cs="Arial" w:eastAsia="Arial" w:hAnsi="Arial"/>
          <w:color w:val="2B5C8A"/>
          <w:sz w:val="28"/>
          <w:szCs w:val="28"/>
        </w:rPr>
        <w:t xml:space="preserve">Currency Returns, Exchange Rates &amp; Global Shocks</w:t>
      </w:r>
    </w:p>
    <w:p>
      <w:pPr>
        <w:pBdr>
          <w:bottom w:val="single" w:color="2B5C8A" w:sz="6" w:space="1"/>
        </w:pBdr>
        <w:spacing w:before="200" w:after="200"/>
      </w:pPr>
    </w:p>
    <w:p>
      <w:pPr>
        <w:spacing w:after="60"/>
        <w:jc w:val="center"/>
      </w:pPr>
      <w:r>
        <w:rPr>
          <w:rFonts w:ascii="Arial" w:cs="Arial" w:eastAsia="Arial" w:hAnsi="Arial"/>
          <w:color w:val="555555"/>
          <w:sz w:val="22"/>
          <w:szCs w:val="22"/>
        </w:rPr>
        <w:t xml:space="preserve">Special Topics in International Finance</w:t>
      </w:r>
    </w:p>
    <w:p>
      <w:pPr>
        <w:spacing w:after="60"/>
        <w:jc w:val="center"/>
      </w:pPr>
      <w:r>
        <w:rPr>
          <w:rFonts w:ascii="Arial" w:cs="Arial" w:eastAsia="Arial" w:hAnsi="Arial"/>
          <w:color w:val="555555"/>
          <w:sz w:val="22"/>
          <w:szCs w:val="22"/>
        </w:rPr>
        <w:t xml:space="preserve">University of Mannheim – Spring 2025</w:t>
      </w:r>
    </w:p>
    <w:p>
      <w:pPr>
        <w:spacing w:after="60"/>
        <w:jc w:val="center"/>
      </w:pPr>
      <w:r>
        <w:rPr>
          <w:rFonts w:ascii="Arial" w:cs="Arial" w:eastAsia="Arial" w:hAnsi="Arial"/>
          <w:color w:val="555555"/>
          <w:sz w:val="22"/>
          <w:szCs w:val="22"/>
        </w:rPr>
        <w:t xml:space="preserve">Prof. Husnu C. Dalgic</w:t>
      </w:r>
    </w:p>
    <w:p>
      <w:pPr>
        <w:spacing w:before="400"/>
        <w:jc w:val="center"/>
      </w:pPr>
      <w:r>
        <w:rPr>
          <w:rFonts w:ascii="Arial" w:cs="Arial" w:eastAsia="Arial" w:hAnsi="Arial"/>
          <w:color w:val="888888"/>
          <w:sz w:val="20"/>
          <w:szCs w:val="20"/>
        </w:rPr>
        <w:t xml:space="preserve">Prepared: March 2026</w:t>
      </w:r>
    </w:p>
    <w:p>
      <w:r>
        <w:br w:type="page"/>
      </w:r>
    </w:p>
    <w:p>
      <w:pPr>
        <w:pStyle w:val="Heading1"/>
      </w:pPr>
      <w:r>
        <w:t xml:space="preserve">Overview</w:t>
      </w:r>
    </w:p>
    <w:p>
      <w:pPr>
        <w:spacing w:after="120" w:line="276"/>
      </w:pPr>
      <w:r>
        <w:t xml:space="preserve">This document presents three thesis proposals at the intersection of currency returns, exchange rates, and global shocks. Each proposal builds directly on the coursework from Special Topics in International Finance (Projects 1–3 and Lectures 1–6) while connecting to active research frontiers. The proposals are ordered by scope, from the most focused event study to the broadest structural analysis.</w:t>
      </w:r>
    </w:p>
    <w:p>
      <w:pPr>
        <w:spacing w:after="120" w:line="276"/>
      </w:pPr>
      <w:r>
        <w:t xml:space="preserve">All three are designed as empirical, data-driven studies. They share a common methodological core (panel regressions, event studies, portfolio sorts) and draw on datasets that are publicly available or accessible through Bloomberg/Datastream.</w:t>
      </w:r>
    </w:p>
    <w:p>
      <w:pPr>
        <w:pBdr>
          <w:bottom w:val="single" w:color="2B5C8A" w:sz="6" w:space="1"/>
        </w:pBdr>
        <w:spacing w:before="200" w:after="200"/>
      </w:pPr>
    </w:p>
    <w:p>
      <w:r>
        <w:br w:type="page"/>
      </w:r>
    </w:p>
    <w:p>
      <w:pPr>
        <w:pStyle w:val="Heading1"/>
      </w:pPr>
      <w:r>
        <w:t xml:space="preserve">Proposal 1: The Dollar’s Broken Shield – Safe-Haven Currency Dynamics Around the 2025 Tariff Shock</w:t>
      </w:r>
    </w:p>
    <w:p>
      <w:pPr>
        <w:pStyle w:val="Heading2"/>
      </w:pPr>
      <w:r>
        <w:t xml:space="preserve">Motivation</w:t>
      </w:r>
    </w:p>
    <w:p>
      <w:pPr>
        <w:spacing w:after="120" w:line="276"/>
      </w:pPr>
      <w:r>
        <w:t xml:space="preserve">Standard theory predicts that import tariffs appreciate the imposing country’s currency by shifting demand toward domestic goods. Historically, the U.S. dollar has also acted as the quintessential safe-haven asset: during risk-off episodes (rising VIX, falling equities), capital flows into dollar-denominated assets, strengthening the greenback. The Liberation Day tariff announcement on April 2, 2025 defied both predictions. The dollar depreciated by over 6% against the euro within days, U.S. Treasury yields spiked, and equity markets plunged. Meanwhile, the Japanese yen, Swiss franc, and euro all appreciated – classic safe-haven currencies absorbed the flows that would normally go to the dollar.</w:t>
      </w:r>
    </w:p>
    <w:p>
      <w:pPr>
        <w:spacing w:after="120" w:line="276"/>
      </w:pPr>
      <w:r>
        <w:t xml:space="preserve">This raises a fundamental question: did the dollar temporarily lose its safe-haven status because the shock originated from U.S. policy itself? And did currency markets price this shock differently depending on whether a country was a “safe” or “risky” currency in the Lustig et al. (2011) factor structure?</w:t>
      </w:r>
    </w:p>
    <w:p>
      <w:pPr>
        <w:pStyle w:val="Heading2"/>
      </w:pPr>
      <w:r>
        <w:t xml:space="preserve">Research Questions</w:t>
      </w:r>
    </w:p>
    <w:p>
      <w:pPr>
        <w:pStyle w:val="ListParagraph"/>
        <w:numPr>
          <w:ilvl w:val="0"/>
          <w:numId w:val="2"/>
        </w:numPr>
        <w:spacing w:after="60" w:line="276"/>
      </w:pPr>
      <w:r>
        <w:t xml:space="preserve">Did the Liberation Day tariff shock break the standard safe-haven pattern, where the dollar appreciates during global risk-off episodes?</w:t>
      </w:r>
    </w:p>
    <w:p>
      <w:pPr>
        <w:pStyle w:val="ListParagraph"/>
        <w:numPr>
          <w:ilvl w:val="0"/>
          <w:numId w:val="2"/>
        </w:numPr>
        <w:spacing w:after="60" w:line="276"/>
      </w:pPr>
      <w:r>
        <w:t xml:space="preserve">How did currencies sorted by carry-trade beta (safe vs. risky portfolios from Project 2) respond to the shock? Did the safe-risky spread behave as the global financial cycle framework predicts?</w:t>
      </w:r>
    </w:p>
    <w:p>
      <w:pPr>
        <w:pStyle w:val="ListParagraph"/>
        <w:numPr>
          <w:ilvl w:val="0"/>
          <w:numId w:val="2"/>
        </w:numPr>
        <w:spacing w:after="60" w:line="276"/>
      </w:pPr>
      <w:r>
        <w:t xml:space="preserve">Does the exchange-rate response depend on whether tariffs were retaliated against, following the Corsetti, Lloyd &amp; Ostry (2025) framework?</w:t>
      </w:r>
    </w:p>
    <w:p>
      <w:pPr>
        <w:pStyle w:val="ListParagraph"/>
        <w:numPr>
          <w:ilvl w:val="0"/>
          <w:numId w:val="2"/>
        </w:numPr>
        <w:spacing w:after="60" w:line="276"/>
      </w:pPr>
      <w:r>
        <w:t xml:space="preserve">What happened to CIP deviations and dollar funding markets around the event?</w:t>
      </w:r>
    </w:p>
    <w:p>
      <w:pPr>
        <w:pStyle w:val="Heading2"/>
      </w:pPr>
      <w:r>
        <w:t xml:space="preserve">Methodology</w:t>
      </w:r>
    </w:p>
    <w:p>
      <w:pPr>
        <w:spacing w:after="120" w:line="276"/>
      </w:pPr>
      <w:r>
        <w:rPr>
          <w:b/>
          <w:bCs/>
        </w:rPr>
        <w:t xml:space="preserve">Step 1 – Currency classification. </w:t>
      </w:r>
      <w:r>
        <w:t xml:space="preserve">Using the 30-currency dataset and the Dollar Risk / Carry Trade Risk factors from the course, classify currencies into safe and risky portfolios (exactly as in Project 2). Verify the classification is stable using pre-event data (2020–2025).</w:t>
      </w:r>
    </w:p>
    <w:p>
      <w:pPr>
        <w:spacing w:after="120" w:line="276"/>
      </w:pPr>
      <w:r>
        <w:rPr>
          <w:b/>
          <w:bCs/>
        </w:rPr>
        <w:t xml:space="preserve">Step 2 – High-frequency event study. </w:t>
      </w:r>
      <w:r>
        <w:t xml:space="preserve">Collect daily (or intraday, if available via Bloomberg) exchange rate data for all 30 currencies around April 2, 2025. Estimate abnormal returns in a narrow window (±5 trading days) relative to a pre-event estimation window (e.g., 120 trading days). Compare the response of safe vs. risky currency portfolios.</w:t>
      </w:r>
    </w:p>
    <w:p>
      <w:pPr>
        <w:spacing w:after="120" w:line="276"/>
      </w:pPr>
      <w:r>
        <w:rPr>
          <w:b/>
          <w:bCs/>
        </w:rPr>
        <w:t xml:space="preserve">Step 3 – Local projections. </w:t>
      </w:r>
      <w:r>
        <w:t xml:space="preserve">Following Corsetti, Lloyd &amp; Ostry (2025, Bank of England Staff Working Paper), estimate local-projection impulse responses of exchange rates to the tariff shock, controlling for VIX, S&amp;P 500 returns, and lagged CIP deviations. Distinguish between U.S. tariff announcements that were retaliated against vs. not.</w:t>
      </w:r>
    </w:p>
    <w:p>
      <w:pPr>
        <w:spacing w:after="120" w:line="276"/>
      </w:pPr>
      <w:r>
        <w:rPr>
          <w:b/>
          <w:bCs/>
        </w:rPr>
        <w:t xml:space="preserve">Step 4 – Dollar safe-haven test. </w:t>
      </w:r>
      <w:r>
        <w:t xml:space="preserve">Estimate rolling-window regressions of dollar returns on VIX changes (the standard safe-haven test). Show that the coefficient flips sign or weakens around April 2025.</w:t>
      </w:r>
    </w:p>
    <w:p>
      <w:pPr>
        <w:spacing w:after="120" w:line="276"/>
      </w:pPr>
      <w:r>
        <w:rPr>
          <w:b/>
          <w:bCs/>
        </w:rPr>
        <w:t xml:space="preserve">Step 5 – CIP deviations. </w:t>
      </w:r>
      <w:r>
        <w:t xml:space="preserve">Using cross-currency basis data (e.g., EUR/USD, JPY/USD, GBP/USD basis from Bloomberg), test whether CIP deviations widened around Liberation Day, signaling dollar-funding stress.</w:t>
      </w:r>
    </w:p>
    <w:p>
      <w:pPr>
        <w:pStyle w:val="Heading2"/>
      </w:pPr>
      <w:r>
        <w:t xml:space="preserve">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5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Spot &amp; forward exchange rates (30 currencies)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Bloomberg / Datastream / course dataset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 (or intraday)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VIX, S&amp;P 500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CBOE / Yahoo Finance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Cross-currency basis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Bloomberg (XCCY basis), BIS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Tariff event timeline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Bown (2025) / PIIE Tariff Tracker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Event-level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Dollar &amp; Carry factors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Course dataset / replicate from PCA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bl>
    <w:p>
      <w:pPr>
        <w:pStyle w:val="Heading2"/>
      </w:pPr>
      <w:r>
        <w:t xml:space="preserve">Key Literature</w:t>
      </w:r>
    </w:p>
    <w:p>
      <w:pPr>
        <w:pStyle w:val="ListParagraph"/>
        <w:numPr>
          <w:ilvl w:val="0"/>
          <w:numId w:val="2"/>
        </w:numPr>
        <w:spacing w:after="60" w:line="276"/>
      </w:pPr>
      <w:r>
        <w:rPr>
          <w:b/>
          <w:bCs/>
        </w:rPr>
        <w:t xml:space="preserve">Corsetti, Lloyd &amp; Ostry (2025) </w:t>
      </w:r>
      <w:r>
        <w:t xml:space="preserve">– “Trading Blows: The Exchange-Rate Response to Tariffs and Retaliations.” Bank of England Staff WP 1139. Key finding: USD depreciation after tariffs is not anomalous once retaliation is accounted for.</w:t>
      </w:r>
    </w:p>
    <w:p>
      <w:pPr>
        <w:pStyle w:val="ListParagraph"/>
        <w:numPr>
          <w:ilvl w:val="0"/>
          <w:numId w:val="2"/>
        </w:numPr>
        <w:spacing w:after="60" w:line="276"/>
      </w:pPr>
      <w:r>
        <w:rPr>
          <w:b/>
          <w:bCs/>
        </w:rPr>
        <w:t xml:space="preserve">ECB Financial Stability Review (Nov 2025) </w:t>
      </w:r>
      <w:r>
        <w:t xml:space="preserve">– Documents the breakdown of the typical USD–Treasury yield positive correlation after April 2; shows the U.S. Treasury convenience yield declined.</w:t>
      </w:r>
    </w:p>
    <w:p>
      <w:pPr>
        <w:pStyle w:val="ListParagraph"/>
        <w:numPr>
          <w:ilvl w:val="0"/>
          <w:numId w:val="2"/>
        </w:numPr>
        <w:spacing w:after="60" w:line="276"/>
      </w:pPr>
      <w:r>
        <w:rPr>
          <w:b/>
          <w:bCs/>
        </w:rPr>
        <w:t xml:space="preserve">Lustig, Roussanov &amp; Verdelhan (2011) </w:t>
      </w:r>
      <w:r>
        <w:t xml:space="preserve">– “Common Risk Factors in Currency Markets.” Foundation for the safe/risky currency classification.</w:t>
      </w:r>
    </w:p>
    <w:p>
      <w:pPr>
        <w:pStyle w:val="ListParagraph"/>
        <w:numPr>
          <w:ilvl w:val="0"/>
          <w:numId w:val="2"/>
        </w:numPr>
        <w:spacing w:after="60" w:line="276"/>
      </w:pPr>
      <w:r>
        <w:rPr>
          <w:b/>
          <w:bCs/>
        </w:rPr>
        <w:t xml:space="preserve">Dalgic &amp; Ozhan (2024) </w:t>
      </w:r>
      <w:r>
        <w:t xml:space="preserve">– “Global Shocks and Local Response.” Provides the theoretical link between global risk factors and EME currency returns.</w:t>
      </w:r>
    </w:p>
    <w:p>
      <w:pPr>
        <w:pStyle w:val="ListParagraph"/>
        <w:numPr>
          <w:ilvl w:val="0"/>
          <w:numId w:val="2"/>
        </w:numPr>
        <w:spacing w:after="60" w:line="276"/>
      </w:pPr>
      <w:r>
        <w:rPr>
          <w:b/>
          <w:bCs/>
        </w:rPr>
        <w:t xml:space="preserve">Du, Tepper &amp; Verdelhan (2018) </w:t>
      </w:r>
      <w:r>
        <w:t xml:space="preserve">– CIP deviations and balance sheet constraints. Relevant for the dollar-funding stress analysis.</w:t>
      </w:r>
    </w:p>
    <w:p>
      <w:pPr>
        <w:pStyle w:val="ListParagraph"/>
        <w:numPr>
          <w:ilvl w:val="0"/>
          <w:numId w:val="2"/>
        </w:numPr>
        <w:spacing w:after="60" w:line="276"/>
      </w:pPr>
      <w:r>
        <w:rPr>
          <w:b/>
          <w:bCs/>
        </w:rPr>
        <w:t xml:space="preserve">Ahmed &amp; Rebucci (2025) </w:t>
      </w:r>
      <w:r>
        <w:t xml:space="preserve">– Argue that tariff policy is undermining the dollar’s safe-haven status.</w:t>
      </w:r>
    </w:p>
    <w:p>
      <w:pPr>
        <w:pStyle w:val="Heading2"/>
      </w:pPr>
      <w:r>
        <w:t xml:space="preserve">Connection to the Course</w:t>
      </w:r>
    </w:p>
    <w:p>
      <w:pPr>
        <w:spacing w:after="120" w:line="276"/>
      </w:pPr>
      <w:r>
        <w:t xml:space="preserve">This proposal directly synthesizes Projects 2 and 3. From Project 2, it uses the currency classification into safe/risky portfolios and the factor structure (Dollar Risk, Carry Trade Risk). From Project 3, it extends the Liberation Day analysis from a descriptive exercise into a rigorous event study. The theoretical grounding comes from Lecture 2 (UIP violations, forward premium puzzle, CIP deviations) and Lecture 6 (microfounded models of how R* and Y* shocks transmit to exchange rates). The key novelty is testing whether U.S.-originated policy shocks break the safe-haven pattern that holds for external shocks.</w:t>
      </w:r>
    </w:p>
    <w:p>
      <w:pPr>
        <w:pStyle w:val="Heading2"/>
      </w:pPr>
      <w:r>
        <w:t xml:space="preserve">What Makes This Strong</w:t>
      </w:r>
    </w:p>
    <w:p>
      <w:pPr>
        <w:pStyle w:val="ListParagraph"/>
        <w:numPr>
          <w:ilvl w:val="0"/>
          <w:numId w:val="2"/>
        </w:numPr>
        <w:spacing w:after="60" w:line="276"/>
      </w:pPr>
      <w:r>
        <w:t xml:space="preserve">Highly topical: the April 2025 episode is being actively studied by the ECB, Bank of England, IMF, and top academic researchers.</w:t>
      </w:r>
    </w:p>
    <w:p>
      <w:pPr>
        <w:pStyle w:val="ListParagraph"/>
        <w:numPr>
          <w:ilvl w:val="0"/>
          <w:numId w:val="2"/>
        </w:numPr>
        <w:spacing w:after="60" w:line="276"/>
      </w:pPr>
      <w:r>
        <w:t xml:space="preserve">Clean identification: Liberation Day was a well-defined, unexpected shock with a precise timestamp – ideal for event studies.</w:t>
      </w:r>
    </w:p>
    <w:p>
      <w:pPr>
        <w:pStyle w:val="ListParagraph"/>
        <w:numPr>
          <w:ilvl w:val="0"/>
          <w:numId w:val="2"/>
        </w:numPr>
        <w:spacing w:after="60" w:line="276"/>
      </w:pPr>
      <w:r>
        <w:t xml:space="preserve">Builds on existing coursework: you already have the portfolio sorts and factor data from Project 2.</w:t>
      </w:r>
    </w:p>
    <w:p>
      <w:pPr>
        <w:pStyle w:val="ListParagraph"/>
        <w:numPr>
          <w:ilvl w:val="0"/>
          <w:numId w:val="2"/>
        </w:numPr>
        <w:spacing w:after="60" w:line="276"/>
      </w:pPr>
      <w:r>
        <w:t xml:space="preserve">Multiple angles: combines exchange rate event study + factor model test + CIP deviations for a rich, multi-dimensional paper.</w:t>
      </w:r>
    </w:p>
    <w:p>
      <w:r>
        <w:br w:type="page"/>
      </w:r>
    </w:p>
    <w:p>
      <w:pPr>
        <w:pStyle w:val="Heading1"/>
      </w:pPr>
      <w:r>
        <w:t xml:space="preserve">Proposal 2: Geopolitical Risk and the Cross-Section of Currency Returns</w:t>
      </w:r>
    </w:p>
    <w:p>
      <w:pPr>
        <w:pStyle w:val="Heading2"/>
      </w:pPr>
      <w:r>
        <w:t xml:space="preserve">Motivation</w:t>
      </w:r>
    </w:p>
    <w:p>
      <w:pPr>
        <w:spacing w:after="120" w:line="276"/>
      </w:pPr>
      <w:r>
        <w:t xml:space="preserve">Lustig et al. (2011) show that two principal components – Dollar Risk and Carry Trade Risk – explain a large share of currency return variation. Your Project 2 verified this empirically. But can other risk factors, particularly geopolitical risk (GPR), explain currency returns beyond what these two factors capture?</w:t>
      </w:r>
    </w:p>
    <w:p>
      <w:pPr>
        <w:spacing w:after="120" w:line="276"/>
      </w:pPr>
      <w:r>
        <w:t xml:space="preserve">This question has become urgent. The period since 2022 has been marked by extraordinary geopolitical disruption: the Russia-Ukraine war, escalating U.S.-China tensions, the 2025 tariff war, and rising military spending globally. Liu &amp; Zhang (2024, Journal of Banking &amp; Finance) show that a long-short strategy buying high-GPR currencies and selling low-GPR currencies generates 5.72% annual excess returns that are not explained by standard currency factors. But their sample ends before the most dramatic geopolitical events. Your thesis would extend this analysis through 2025, incorporating the tariff war, and test whether GPR has become a more important pricing factor in the post-2022 world.</w:t>
      </w:r>
    </w:p>
    <w:p>
      <w:pPr>
        <w:pStyle w:val="Heading2"/>
      </w:pPr>
      <w:r>
        <w:t xml:space="preserve">Research Questions</w:t>
      </w:r>
    </w:p>
    <w:p>
      <w:pPr>
        <w:pStyle w:val="ListParagraph"/>
        <w:numPr>
          <w:ilvl w:val="0"/>
          <w:numId w:val="2"/>
        </w:numPr>
        <w:spacing w:after="60" w:line="276"/>
      </w:pPr>
      <w:r>
        <w:t xml:space="preserve">Is geopolitical risk (GPR) a priced factor in the cross-section of currency returns, beyond the Dollar and Carry factors?</w:t>
      </w:r>
    </w:p>
    <w:p>
      <w:pPr>
        <w:pStyle w:val="ListParagraph"/>
        <w:numPr>
          <w:ilvl w:val="0"/>
          <w:numId w:val="2"/>
        </w:numPr>
        <w:spacing w:after="60" w:line="276"/>
      </w:pPr>
      <w:r>
        <w:t xml:space="preserve">Has the pricing of GPR intensified since 2022 (Russia-Ukraine war, tariff escalation)?</w:t>
      </w:r>
    </w:p>
    <w:p>
      <w:pPr>
        <w:pStyle w:val="ListParagraph"/>
        <w:numPr>
          <w:ilvl w:val="0"/>
          <w:numId w:val="2"/>
        </w:numPr>
        <w:spacing w:after="60" w:line="276"/>
      </w:pPr>
      <w:r>
        <w:t xml:space="preserve">Do currencies of countries more integrated into global value chains earn higher GPR risk premia, as suggested by recent research on tariff transmission?</w:t>
      </w:r>
    </w:p>
    <w:p>
      <w:pPr>
        <w:pStyle w:val="ListParagraph"/>
        <w:numPr>
          <w:ilvl w:val="0"/>
          <w:numId w:val="2"/>
        </w:numPr>
        <w:spacing w:after="60" w:line="276"/>
      </w:pPr>
      <w:r>
        <w:t xml:space="preserve">How does GPR interact with the traditional safe/risky classification? Do safe-haven currencies (CHF, JPY, EUR) provide a hedge specifically against GPR shocks?</w:t>
      </w:r>
    </w:p>
    <w:p>
      <w:pPr>
        <w:pStyle w:val="Heading2"/>
      </w:pPr>
      <w:r>
        <w:t xml:space="preserve">Methodology</w:t>
      </w:r>
    </w:p>
    <w:p>
      <w:pPr>
        <w:spacing w:after="120" w:line="276"/>
      </w:pPr>
      <w:r>
        <w:rPr>
          <w:b/>
          <w:bCs/>
        </w:rPr>
        <w:t xml:space="preserve">Step 1 – GPR beta estimation. </w:t>
      </w:r>
      <w:r>
        <w:t xml:space="preserve">For each of the 30 currencies, regress monthly excess returns on the Caldara &amp; Iacoviello (2022) global GPR index and country-specific GPR indices. Estimate GPR betas using rolling windows (60 months) to capture time variation.</w:t>
      </w:r>
    </w:p>
    <w:p>
      <w:pPr>
        <w:spacing w:after="120" w:line="276"/>
      </w:pPr>
      <w:r>
        <w:rPr>
          <w:b/>
          <w:bCs/>
        </w:rPr>
        <w:t xml:space="preserve">Step 2 – Portfolio sorts. </w:t>
      </w:r>
      <w:r>
        <w:t xml:space="preserve">Each month, sort currencies into 5 portfolios by GPR beta. Compute portfolio excess returns and test whether a high-minus-low GPR portfolio generates significant alpha after controlling for Dollar and Carry factors.</w:t>
      </w:r>
    </w:p>
    <w:p>
      <w:pPr>
        <w:spacing w:after="120" w:line="276"/>
      </w:pPr>
      <w:r>
        <w:rPr>
          <w:b/>
          <w:bCs/>
        </w:rPr>
        <w:t xml:space="preserve">Step 3 – Fama-MacBeth cross-sectional regressions. </w:t>
      </w:r>
      <w:r>
        <w:t xml:space="preserve">Run month-by-month cross-sectional regressions of currency excess returns on GPR betas, Dollar betas, and Carry betas. Test whether the GPR risk price is significant and stable.</w:t>
      </w:r>
    </w:p>
    <w:p>
      <w:pPr>
        <w:spacing w:after="120" w:line="276"/>
      </w:pPr>
      <w:r>
        <w:rPr>
          <w:b/>
          <w:bCs/>
        </w:rPr>
        <w:t xml:space="preserve">Step 4 – Subsample analysis. </w:t>
      </w:r>
      <w:r>
        <w:t xml:space="preserve">Split the sample at key structural breaks: pre-2008 (before CIP violations), 2008–2021, and 2022–2025 (heightened geopolitical risk era). Test whether GPR pricing has strengthened.</w:t>
      </w:r>
    </w:p>
    <w:p>
      <w:pPr>
        <w:spacing w:after="120" w:line="276"/>
      </w:pPr>
      <w:r>
        <w:rPr>
          <w:b/>
          <w:bCs/>
        </w:rPr>
        <w:t xml:space="preserve">Step 5 – GVC interaction. </w:t>
      </w:r>
      <w:r>
        <w:t xml:space="preserve">Using OECD Trade in Value Added data, construct a measure of each country’s global value chain integration. Test whether GVC-integrated countries’ currencies are more sensitive to GPR shocks, as suggested by the tariff-transmission literature.</w:t>
      </w:r>
    </w:p>
    <w:p>
      <w:pPr>
        <w:pStyle w:val="Heading2"/>
      </w:pPr>
      <w:r>
        <w:t xml:space="preserve">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5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Currency forward returns (30 currencies)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Course dataset / Bloomberg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GPR index</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Caldara &amp; Iacoviello (matteoiacoviello.com/gpr.htm)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Country-specific GPR indices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source (44 countries)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Dollar &amp; Carry factors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Course dataset / Lustig website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GVC participation index</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OECD TiVA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S&amp;P 500, VIX, Gold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Bloomberg / FRED / Yahoo Finance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bl>
    <w:p>
      <w:pPr>
        <w:pStyle w:val="Heading2"/>
      </w:pPr>
      <w:r>
        <w:t xml:space="preserve">Key Literature</w:t>
      </w:r>
    </w:p>
    <w:p>
      <w:pPr>
        <w:pStyle w:val="ListParagraph"/>
        <w:numPr>
          <w:ilvl w:val="0"/>
          <w:numId w:val="2"/>
        </w:numPr>
        <w:spacing w:after="60" w:line="276"/>
      </w:pPr>
      <w:r>
        <w:rPr>
          <w:b/>
          <w:bCs/>
        </w:rPr>
        <w:t xml:space="preserve">Liu &amp; Zhang (2024) </w:t>
      </w:r>
      <w:r>
        <w:t xml:space="preserve">– “Geopolitical Risk and Currency Returns.” JBF. Establishes GPR as a priced factor; your thesis extends their sample and methodology.</w:t>
      </w:r>
    </w:p>
    <w:p>
      <w:pPr>
        <w:pStyle w:val="ListParagraph"/>
        <w:numPr>
          <w:ilvl w:val="0"/>
          <w:numId w:val="2"/>
        </w:numPr>
        <w:spacing w:after="60" w:line="276"/>
      </w:pPr>
      <w:r>
        <w:rPr>
          <w:b/>
          <w:bCs/>
        </w:rPr>
        <w:t xml:space="preserve">Caldara &amp; Iacoviello (2022) </w:t>
      </w:r>
      <w:r>
        <w:t xml:space="preserve">– “Measuring Geopolitical Risk.” AER. Provides the GPR index construction.</w:t>
      </w:r>
    </w:p>
    <w:p>
      <w:pPr>
        <w:pStyle w:val="ListParagraph"/>
        <w:numPr>
          <w:ilvl w:val="0"/>
          <w:numId w:val="2"/>
        </w:numPr>
        <w:spacing w:after="60" w:line="276"/>
      </w:pPr>
      <w:r>
        <w:rPr>
          <w:b/>
          <w:bCs/>
        </w:rPr>
        <w:t xml:space="preserve">Lustig, Roussanov &amp; Verdelhan (2011) </w:t>
      </w:r>
      <w:r>
        <w:t xml:space="preserve">– The baseline factor model against which GPR’s incremental power is tested.</w:t>
      </w:r>
    </w:p>
    <w:p>
      <w:pPr>
        <w:pStyle w:val="ListParagraph"/>
        <w:numPr>
          <w:ilvl w:val="0"/>
          <w:numId w:val="2"/>
        </w:numPr>
        <w:spacing w:after="60" w:line="276"/>
      </w:pPr>
      <w:r>
        <w:rPr>
          <w:b/>
          <w:bCs/>
        </w:rPr>
        <w:t xml:space="preserve">IMF GFSR Chapter 2 (April 2025) </w:t>
      </w:r>
      <w:r>
        <w:t xml:space="preserve">– “Geopolitical Risks: Implications for Asset Prices.” Finds GPR shocks predict currency depreciation and equity declines.</w:t>
      </w:r>
    </w:p>
    <w:p>
      <w:pPr>
        <w:pStyle w:val="ListParagraph"/>
        <w:numPr>
          <w:ilvl w:val="0"/>
          <w:numId w:val="2"/>
        </w:numPr>
        <w:spacing w:after="60" w:line="276"/>
      </w:pPr>
      <w:r>
        <w:rPr>
          <w:b/>
          <w:bCs/>
        </w:rPr>
        <w:t xml:space="preserve">Dalgic &amp; Ozhan (2024) </w:t>
      </w:r>
      <w:r>
        <w:t xml:space="preserve">– Theoretical framework for how global shocks transmit to EME currencies.</w:t>
      </w:r>
    </w:p>
    <w:p>
      <w:pPr>
        <w:pStyle w:val="ListParagraph"/>
        <w:numPr>
          <w:ilvl w:val="0"/>
          <w:numId w:val="2"/>
        </w:numPr>
        <w:spacing w:after="60" w:line="276"/>
      </w:pPr>
      <w:r>
        <w:rPr>
          <w:b/>
          <w:bCs/>
        </w:rPr>
        <w:t xml:space="preserve">Hossain et al. (2025) </w:t>
      </w:r>
      <w:r>
        <w:t xml:space="preserve">– Finds currencies of GVC-integrated countries depreciate more after GPR shocks.</w:t>
      </w:r>
    </w:p>
    <w:p>
      <w:pPr>
        <w:pStyle w:val="Heading2"/>
      </w:pPr>
      <w:r>
        <w:t xml:space="preserve">Connection to the Course</w:t>
      </w:r>
    </w:p>
    <w:p>
      <w:pPr>
        <w:spacing w:after="120" w:line="276"/>
      </w:pPr>
      <w:r>
        <w:t xml:space="preserve">This directly extends the factor-model analysis from Project 2 and Lecture 2 (slides 36–42 on PCA, global shocks, and the GPR beta–return relationship). The course already showed that countries with higher GPR betas earn higher average returns – this thesis formalizes and extends that observation into a full asset-pricing test. It also connects to the tariff analysis in Project 3, since tariff escalation is captured by the GPR index.</w:t>
      </w:r>
    </w:p>
    <w:p>
      <w:pPr>
        <w:pStyle w:val="Heading2"/>
      </w:pPr>
      <w:r>
        <w:t xml:space="preserve">What Makes This Strong</w:t>
      </w:r>
    </w:p>
    <w:p>
      <w:pPr>
        <w:pStyle w:val="ListParagraph"/>
        <w:numPr>
          <w:ilvl w:val="0"/>
          <w:numId w:val="2"/>
        </w:numPr>
        <w:spacing w:after="60" w:line="276"/>
      </w:pPr>
      <w:r>
        <w:t xml:space="preserve">Clean academic contribution: extends Liu &amp; Zhang (2024) with the most dramatic GPR period in recent history (2022–2025).</w:t>
      </w:r>
    </w:p>
    <w:p>
      <w:pPr>
        <w:pStyle w:val="ListParagraph"/>
        <w:numPr>
          <w:ilvl w:val="0"/>
          <w:numId w:val="2"/>
        </w:numPr>
        <w:spacing w:after="60" w:line="276"/>
      </w:pPr>
      <w:r>
        <w:t xml:space="preserve">Well-established methodology: Fama-MacBeth regressions and portfolio sorts are standard in empirical asset pricing.</w:t>
      </w:r>
    </w:p>
    <w:p>
      <w:pPr>
        <w:pStyle w:val="ListParagraph"/>
        <w:numPr>
          <w:ilvl w:val="0"/>
          <w:numId w:val="2"/>
        </w:numPr>
        <w:spacing w:after="60" w:line="276"/>
      </w:pPr>
      <w:r>
        <w:t xml:space="preserve">Rich data: GPR indices are freely available for 44 countries; currency data is from the course.</w:t>
      </w:r>
    </w:p>
    <w:p>
      <w:pPr>
        <w:pStyle w:val="ListParagraph"/>
        <w:numPr>
          <w:ilvl w:val="0"/>
          <w:numId w:val="2"/>
        </w:numPr>
        <w:spacing w:after="60" w:line="276"/>
      </w:pPr>
      <w:r>
        <w:t xml:space="preserve">Policy relevance: the IMF’s April 2025 GFSR devoted an entire chapter to this topic, signaling institutional demand for research.</w:t>
      </w:r>
    </w:p>
    <w:p>
      <w:r>
        <w:br w:type="page"/>
      </w:r>
    </w:p>
    <w:p>
      <w:pPr>
        <w:pStyle w:val="Heading1"/>
      </w:pPr>
      <w:r>
        <w:t xml:space="preserve">Proposal 3: The Exorbitant Privilege Under Stress – De-Dollarization, Tariffs, and the U.S. Return Differential</w:t>
      </w:r>
    </w:p>
    <w:p>
      <w:pPr>
        <w:pStyle w:val="Heading2"/>
      </w:pPr>
      <w:r>
        <w:t xml:space="preserve">Motivation</w:t>
      </w:r>
    </w:p>
    <w:p>
      <w:pPr>
        <w:spacing w:after="120" w:line="276"/>
      </w:pPr>
      <w:r>
        <w:t xml:space="preserve">The U.S. has historically enjoyed an “exorbitant privilege”: it earns higher returns on its foreign assets than it pays on its liabilities, allowing it to run persistent current account deficits without consequences. Your Project 1 analyzed this through 2020. But since then, the landscape has shifted dramatically. Central banks have purchased over 1,000 tonnes of gold annually since 2022, diversifying away from dollar reserves. China has reduced its U.S. Treasury holdings. The April 2025 tariff shock triggered a broad-based dollar depreciation and a decline in the U.S. Treasury convenience yield – the premium investors pay for the safety and liquidity of U.S. government bonds.</w:t>
      </w:r>
    </w:p>
    <w:p>
      <w:pPr>
        <w:spacing w:after="120" w:line="276"/>
      </w:pPr>
      <w:r>
        <w:t xml:space="preserve">Has the exorbitant privilege survived these shocks? Or are we witnessing the early stages of structural erosion? This thesis would provide the most comprehensive empirical assessment to date by extending the Gourinchas &amp; Rey (2022) decomposition through 2025 and linking changes in the privilege to specific geopolitical and policy events.</w:t>
      </w:r>
    </w:p>
    <w:p>
      <w:pPr>
        <w:pStyle w:val="Heading2"/>
      </w:pPr>
      <w:r>
        <w:t xml:space="preserve">Research Questions</w:t>
      </w:r>
    </w:p>
    <w:p>
      <w:pPr>
        <w:pStyle w:val="ListParagraph"/>
        <w:numPr>
          <w:ilvl w:val="0"/>
          <w:numId w:val="2"/>
        </w:numPr>
        <w:spacing w:after="60" w:line="276"/>
      </w:pPr>
      <w:r>
        <w:t xml:space="preserve">Has the U.S. return differential (returns on foreign assets minus cost of liabilities) narrowed since 2020, and especially since 2022?</w:t>
      </w:r>
    </w:p>
    <w:p>
      <w:pPr>
        <w:pStyle w:val="ListParagraph"/>
        <w:numPr>
          <w:ilvl w:val="0"/>
          <w:numId w:val="2"/>
        </w:numPr>
        <w:spacing w:after="60" w:line="276"/>
      </w:pPr>
      <w:r>
        <w:t xml:space="preserve">Which asset classes are driving changes: direct investment, portfolio equity, portfolio debt, or other investment?</w:t>
      </w:r>
    </w:p>
    <w:p>
      <w:pPr>
        <w:pStyle w:val="ListParagraph"/>
        <w:numPr>
          <w:ilvl w:val="0"/>
          <w:numId w:val="2"/>
        </w:numPr>
        <w:spacing w:after="60" w:line="276"/>
      </w:pPr>
      <w:r>
        <w:t xml:space="preserve">Did the April 2025 tariff shock represent a structural break in the U.S. Treasury convenience yield?</w:t>
      </w:r>
    </w:p>
    <w:p>
      <w:pPr>
        <w:pStyle w:val="ListParagraph"/>
        <w:numPr>
          <w:ilvl w:val="0"/>
          <w:numId w:val="2"/>
        </w:numPr>
        <w:spacing w:after="60" w:line="276"/>
      </w:pPr>
      <w:r>
        <w:t xml:space="preserve">Is there evidence of reserve diversification away from dollar assets, and how does this relate to the return differential?</w:t>
      </w:r>
    </w:p>
    <w:p>
      <w:pPr>
        <w:pStyle w:val="ListParagraph"/>
        <w:numPr>
          <w:ilvl w:val="0"/>
          <w:numId w:val="2"/>
        </w:numPr>
        <w:spacing w:after="60" w:line="276"/>
      </w:pPr>
      <w:r>
        <w:t xml:space="preserve">What do valuation effects (exchange rate changes affecting the dollar value of U.S. foreign assets) contribute to the NFA dynamics in this period?</w:t>
      </w:r>
    </w:p>
    <w:p>
      <w:pPr>
        <w:pStyle w:val="Heading2"/>
      </w:pPr>
      <w:r>
        <w:t xml:space="preserve">Methodology</w:t>
      </w:r>
    </w:p>
    <w:p>
      <w:pPr>
        <w:spacing w:after="120" w:line="276"/>
      </w:pPr>
      <w:r>
        <w:rPr>
          <w:b/>
          <w:bCs/>
        </w:rPr>
        <w:t xml:space="preserve">Step 1 – Update the Gourinchas &amp; Rey decomposition. </w:t>
      </w:r>
      <w:r>
        <w:t xml:space="preserve">Using BEA IIP (Table 1.2) and BoP (Table 1.1) data through 2025, compute: (a) the U.S. NFA/GDP ratio, (b) the return on U.S. foreign assets vs. the return on U.S. liabilities (using lagged NFA positions as denominators, as in Project 1), and (c) the net foreign income/GDP ratio. Decompose changes into direct investment, portfolio equity, portfolio debt, and other investment.</w:t>
      </w:r>
    </w:p>
    <w:p>
      <w:pPr>
        <w:spacing w:after="120" w:line="276"/>
      </w:pPr>
      <w:r>
        <w:rPr>
          <w:b/>
          <w:bCs/>
        </w:rPr>
        <w:t xml:space="preserve">Step 2 – Convenience yield estimation. </w:t>
      </w:r>
      <w:r>
        <w:t xml:space="preserve">Compute the U.S. Treasury convenience yield as the CIP deviation between 10-year Bund yields and 10-year Treasury yields (following the ECB’s November 2025 methodology). Track its evolution around key events: the Russia-Ukraine war (Feb 2022), Fed rate hikes (2022–23), and Liberation Day (April 2025).</w:t>
      </w:r>
    </w:p>
    <w:p>
      <w:pPr>
        <w:spacing w:after="120" w:line="276"/>
      </w:pPr>
      <w:r>
        <w:rPr>
          <w:b/>
          <w:bCs/>
        </w:rPr>
        <w:t xml:space="preserve">Step 3 – Reserve diversification analysis. </w:t>
      </w:r>
      <w:r>
        <w:t xml:space="preserve">Using IMF COFER data on central bank reserve currency composition and World Gold Council data on central bank gold purchases, document the pace of diversification away from dollar assets. Test whether countries that diversified more experienced different currency return dynamics.</w:t>
      </w:r>
    </w:p>
    <w:p>
      <w:pPr>
        <w:spacing w:after="120" w:line="276"/>
      </w:pPr>
      <w:r>
        <w:rPr>
          <w:b/>
          <w:bCs/>
        </w:rPr>
        <w:t xml:space="preserve">Step 4 – Event study on the privilege. </w:t>
      </w:r>
      <w:r>
        <w:t xml:space="preserve">Using quarterly BEA data, run a difference-in-differences style analysis comparing the U.S. return differential before and after key events (COVID, Russia-Ukraine, Liberation Day). Control for interest rate differentials, VIX, and global GDP growth.</w:t>
      </w:r>
    </w:p>
    <w:p>
      <w:pPr>
        <w:spacing w:after="120" w:line="276"/>
      </w:pPr>
      <w:r>
        <w:rPr>
          <w:b/>
          <w:bCs/>
        </w:rPr>
        <w:t xml:space="preserve">Step 5 – Valuation channel. </w:t>
      </w:r>
      <w:r>
        <w:t xml:space="preserve">Decompose NFA changes into (a) financial flows and (b) valuation effects (exchange rate and asset price changes). The dollar’s depreciation in 2025 mechanically increased the dollar value of U.S. foreign assets – quantify how much of the NFA improvement is real vs. valuation-driven.</w:t>
      </w:r>
    </w:p>
    <w:p>
      <w:pPr>
        <w:pStyle w:val="Heading2"/>
      </w:pPr>
      <w:r>
        <w:t xml:space="preserve">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5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 IIP (NFA by asset class)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BEA Table 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Quarterly / Annual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 BoP (investment income)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BEA Table 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Quarterly / Annual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GDP, recession dates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FRED (GDP, USRECD)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Treasury &amp; Bund yields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Bloomberg / FRED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CIP basis (convenience yield)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Bloomberg / BIS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Central bank reserve composition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IMF COFER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Central bank gold purchases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World Gold Council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TIC data (foreign holdings of U.S. securities)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 Treasury TIC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bl>
    <w:p>
      <w:pPr>
        <w:pStyle w:val="Heading2"/>
      </w:pPr>
      <w:r>
        <w:t xml:space="preserve">Key Literature</w:t>
      </w:r>
    </w:p>
    <w:p>
      <w:pPr>
        <w:pStyle w:val="ListParagraph"/>
        <w:numPr>
          <w:ilvl w:val="0"/>
          <w:numId w:val="2"/>
        </w:numPr>
        <w:spacing w:after="60" w:line="276"/>
      </w:pPr>
      <w:r>
        <w:rPr>
          <w:b/>
          <w:bCs/>
        </w:rPr>
        <w:t xml:space="preserve">Gourinchas &amp; Rey (2022) </w:t>
      </w:r>
      <w:r>
        <w:t xml:space="preserve">– “Exorbitant Privilege and Exorbitant Duty.” The canonical decomposition framework.</w:t>
      </w:r>
    </w:p>
    <w:p>
      <w:pPr>
        <w:pStyle w:val="ListParagraph"/>
        <w:numPr>
          <w:ilvl w:val="0"/>
          <w:numId w:val="2"/>
        </w:numPr>
        <w:spacing w:after="60" w:line="276"/>
      </w:pPr>
      <w:r>
        <w:rPr>
          <w:b/>
          <w:bCs/>
        </w:rPr>
        <w:t xml:space="preserve">Atkeson, Heathcote &amp; Perri (2022) </w:t>
      </w:r>
      <w:r>
        <w:t xml:space="preserve">– “The End of Privilege.” Argues the privilege may be eroding.</w:t>
      </w:r>
    </w:p>
    <w:p>
      <w:pPr>
        <w:pStyle w:val="ListParagraph"/>
        <w:numPr>
          <w:ilvl w:val="0"/>
          <w:numId w:val="2"/>
        </w:numPr>
        <w:spacing w:after="60" w:line="276"/>
      </w:pPr>
      <w:r>
        <w:rPr>
          <w:b/>
          <w:bCs/>
        </w:rPr>
        <w:t xml:space="preserve">Chen, Jiang &amp; Lustig (2022) </w:t>
      </w:r>
      <w:r>
        <w:t xml:space="preserve">– “Exorbitant Privilege Gained and Lost: Fiscal Implications.” Fiscal sustainability perspective.</w:t>
      </w:r>
    </w:p>
    <w:p>
      <w:pPr>
        <w:pStyle w:val="ListParagraph"/>
        <w:numPr>
          <w:ilvl w:val="0"/>
          <w:numId w:val="2"/>
        </w:numPr>
        <w:spacing w:after="60" w:line="276"/>
      </w:pPr>
      <w:r>
        <w:rPr>
          <w:b/>
          <w:bCs/>
        </w:rPr>
        <w:t xml:space="preserve">Obstfeld &amp; Zhou (2022) </w:t>
      </w:r>
      <w:r>
        <w:t xml:space="preserve">– In your course readings. Comprehensive analysis of the international monetary system.</w:t>
      </w:r>
    </w:p>
    <w:p>
      <w:pPr>
        <w:pStyle w:val="ListParagraph"/>
        <w:numPr>
          <w:ilvl w:val="0"/>
          <w:numId w:val="2"/>
        </w:numPr>
        <w:spacing w:after="60" w:line="276"/>
      </w:pPr>
      <w:r>
        <w:rPr>
          <w:b/>
          <w:bCs/>
        </w:rPr>
        <w:t xml:space="preserve">ECB FSR (Nov 2025) </w:t>
      </w:r>
      <w:r>
        <w:t xml:space="preserve">– Documents the decline in U.S. Treasury convenience yield after Liberation Day and links it to tariff threat shocks.</w:t>
      </w:r>
    </w:p>
    <w:p>
      <w:pPr>
        <w:pStyle w:val="ListParagraph"/>
        <w:numPr>
          <w:ilvl w:val="0"/>
          <w:numId w:val="2"/>
        </w:numPr>
        <w:spacing w:after="60" w:line="276"/>
      </w:pPr>
      <w:r>
        <w:rPr>
          <w:b/>
          <w:bCs/>
        </w:rPr>
        <w:t xml:space="preserve">Brookings (Oct 2025) </w:t>
      </w:r>
      <w:r>
        <w:t xml:space="preserve">– “Is the Global Financial System Fracturing?” Documents reserve diversification, gold accumulation, and alternative payment systems.</w:t>
      </w:r>
    </w:p>
    <w:p>
      <w:pPr>
        <w:pStyle w:val="Heading2"/>
      </w:pPr>
      <w:r>
        <w:t xml:space="preserve">Connection to the Course</w:t>
      </w:r>
    </w:p>
    <w:p>
      <w:pPr>
        <w:spacing w:after="120" w:line="276"/>
      </w:pPr>
      <w:r>
        <w:t xml:space="preserve">This is the natural continuation of Project 1, which asked whether the exorbitant privilege persists after 2020. Your thesis would push the analysis through 2025, add the convenience yield dimension (connecting to the CIP material in Lecture 2), and link to the tariff shock from Project 3. The NFA decomposition methodology is identical to what you already implemented. The new elements are the convenience yield estimation and the reserve diversification analysis.</w:t>
      </w:r>
    </w:p>
    <w:p>
      <w:pPr>
        <w:pStyle w:val="Heading2"/>
      </w:pPr>
      <w:r>
        <w:t xml:space="preserve">What Makes This Strong</w:t>
      </w:r>
    </w:p>
    <w:p>
      <w:pPr>
        <w:pStyle w:val="ListParagraph"/>
        <w:numPr>
          <w:ilvl w:val="0"/>
          <w:numId w:val="2"/>
        </w:numPr>
        <w:spacing w:after="60" w:line="276"/>
      </w:pPr>
      <w:r>
        <w:t xml:space="preserve">Enormous policy relevance: de-dollarization is the single most discussed topic in international finance today.</w:t>
      </w:r>
    </w:p>
    <w:p>
      <w:pPr>
        <w:pStyle w:val="ListParagraph"/>
        <w:numPr>
          <w:ilvl w:val="0"/>
          <w:numId w:val="2"/>
        </w:numPr>
        <w:spacing w:after="60" w:line="276"/>
      </w:pPr>
      <w:r>
        <w:t xml:space="preserve">Builds on existing code and data from Project 1: the BEA data pipeline is already set up.</w:t>
      </w:r>
    </w:p>
    <w:p>
      <w:pPr>
        <w:pStyle w:val="ListParagraph"/>
        <w:numPr>
          <w:ilvl w:val="0"/>
          <w:numId w:val="2"/>
        </w:numPr>
        <w:spacing w:after="60" w:line="276"/>
      </w:pPr>
      <w:r>
        <w:t xml:space="preserve">Combines macro (NFA, BoP) with financial (convenience yield, CIP) perspectives for a richer analysis.</w:t>
      </w:r>
    </w:p>
    <w:p>
      <w:pPr>
        <w:pStyle w:val="ListParagraph"/>
        <w:numPr>
          <w:ilvl w:val="0"/>
          <w:numId w:val="2"/>
        </w:numPr>
        <w:spacing w:after="60" w:line="276"/>
      </w:pPr>
      <w:r>
        <w:t xml:space="preserve">Strong narrative arc: the exorbitant privilege under sequential stress tests (COVID → rate hikes → Russia-Ukraine → tariff war).</w:t>
      </w:r>
    </w:p>
    <w:p>
      <w:r>
        <w:br w:type="page"/>
      </w:r>
    </w:p>
    <w:p>
      <w:pPr>
        <w:pStyle w:val="Heading1"/>
      </w:pPr>
      <w:r>
        <w:t xml:space="preserve">Comparison of Proposals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880"/>
        <w:gridCol w:w="1880"/>
        <w:gridCol w:w="1880"/>
        <w:gridCol w:w="1880"/>
      </w:tblGrid>
      <w:tr>
        <w:tc>
          <w:tcPr>
            <w:tcW w:type="dxa" w:w="150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Proposal 1: Dollar’s Broken Shield</w:t>
            </w:r>
          </w:p>
        </w:tc>
        <w:tc>
          <w:tcPr>
            <w:tcW w:type="dxa" w:w="18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Proposal 2: GPR &amp; Currency Returns</w:t>
            </w:r>
          </w:p>
        </w:tc>
        <w:tc>
          <w:tcPr>
            <w:tcW w:type="dxa" w:w="18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Proposal 3: Exorbitant Privilege</w:t>
            </w:r>
          </w:p>
        </w:tc>
      </w:tr>
      <w:tr>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Scope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Focused event study (April 2025)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Cross-sectional asset pricing (1985–2025)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Structural macro-finance (1990–2025)</w:t>
            </w:r>
          </w:p>
        </w:tc>
      </w:tr>
      <w:tr>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method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Event study + local projections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Fama-MacBeth + portfolio sorts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Decomposition + event study</w:t>
            </w:r>
          </w:p>
        </w:tc>
      </w:tr>
      <w:tr>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effort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(daily FX + CIP basis)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(monthly FX + GPR indices)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(BEA, COFER, TIC, CIP)</w:t>
            </w:r>
          </w:p>
        </w:tc>
      </w:tr>
      <w:tr>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Novelty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Very high (event just happened)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(extends Liu &amp; Zhang 2024)</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(most current update)</w:t>
            </w:r>
          </w:p>
        </w:tc>
      </w:tr>
      <w:tr>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Extends Project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Projects 2 + 3</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2</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Projects 1 + 3</w:t>
            </w:r>
          </w:p>
        </w:tc>
      </w:tr>
      <w:tr>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Risk</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(clean event, clear method)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Low-Medium (standard methods)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(more data, broader scope)</w:t>
            </w:r>
          </w:p>
        </w:tc>
      </w:tr>
    </w:tbl>
    <w:p>
      <w:pPr>
        <w:spacing w:before="200"/>
      </w:pPr>
    </w:p>
    <w:p>
      <w:pPr>
        <w:spacing w:after="120" w:line="276"/>
      </w:pPr>
      <w:r>
        <w:rPr>
          <w:b/>
          <w:bCs/>
        </w:rPr>
        <w:t xml:space="preserve">Recommended combination: </w:t>
      </w:r>
      <w:r>
        <w:t xml:space="preserve">Proposals 1 and 2 can be naturally combined into a single thesis that asks “How do geopolitical and trade-policy shocks price in currency markets?” You would use the GPR factor structure (Proposal 2) as the general framework and the Liberation Day shock (Proposal 1) as a high-powered case study. This gives you both a cross-sectional asset-pricing contribution and a timely event study – a strong combination for a Master’s thesis.</w:t>
      </w:r>
    </w:p>
    <w:p>
      <w:pPr>
        <w:pBdr>
          <w:bottom w:val="single" w:color="2B5C8A" w:sz="6" w:space="1"/>
        </w:pBdr>
        <w:spacing w:before="200" w:after="200"/>
      </w:pPr>
    </w:p>
    <w:p>
      <w:pPr>
        <w:pStyle w:val="Heading1"/>
      </w:pPr>
      <w:r>
        <w:t xml:space="preserve">Suggested Next Steps</w:t>
      </w:r>
    </w:p>
    <w:p>
      <w:pPr>
        <w:pStyle w:val="ListParagraph"/>
        <w:numPr>
          <w:ilvl w:val="0"/>
          <w:numId w:val="3"/>
        </w:numPr>
        <w:spacing w:after="80" w:line="276"/>
      </w:pPr>
      <w:r>
        <w:t xml:space="preserve">Choose your preferred proposal (or combination) and discuss feasibility with Prof. Dalgic.</w:t>
      </w:r>
    </w:p>
    <w:p>
      <w:pPr>
        <w:pStyle w:val="ListParagraph"/>
        <w:numPr>
          <w:ilvl w:val="0"/>
          <w:numId w:val="3"/>
        </w:numPr>
        <w:spacing w:after="80" w:line="276"/>
      </w:pPr>
      <w:r>
        <w:t xml:space="preserve">Download the Caldara &amp; Iacoviello GPR data (free) and the BEA/FRED data to assess data quality.</w:t>
      </w:r>
    </w:p>
    <w:p>
      <w:pPr>
        <w:pStyle w:val="ListParagraph"/>
        <w:numPr>
          <w:ilvl w:val="0"/>
          <w:numId w:val="3"/>
        </w:numPr>
        <w:spacing w:after="80" w:line="276"/>
      </w:pPr>
      <w:r>
        <w:t xml:space="preserve">Read the Corsetti, Lloyd &amp; Ostry (2025) Bank of England paper and the ECB FSR (Nov 2025) chapter – these are the most directly relevant new papers.</w:t>
      </w:r>
    </w:p>
    <w:p>
      <w:pPr>
        <w:pStyle w:val="ListParagraph"/>
        <w:numPr>
          <w:ilvl w:val="0"/>
          <w:numId w:val="3"/>
        </w:numPr>
        <w:spacing w:after="80" w:line="276"/>
      </w:pPr>
      <w:r>
        <w:t xml:space="preserve">Replicate one key result from the chosen baseline paper (e.g., Liu &amp; Zhang’s GPR-sorted portfolios or Corsetti et al.’s local projections) as a proof of concept.</w:t>
      </w:r>
    </w:p>
    <w:p>
      <w:pPr>
        <w:pStyle w:val="ListParagraph"/>
        <w:numPr>
          <w:ilvl w:val="0"/>
          <w:numId w:val="3"/>
        </w:numPr>
        <w:spacing w:after="80" w:line="276"/>
      </w:pPr>
      <w:r>
        <w:t xml:space="preserve">Draft a 1-page thesis proposal with your research question, methodology, and expected contribution for formal approval.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C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C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2026-03-17T16:08:56.640Z</dcterms:created>
  <dcterms:modified xsi:type="dcterms:W3CDTF">2026-03-17T16:08:56.641Z</dcterms:modified>
</cp:coreProperties>
</file>

<file path=docProps/custom.xml><?xml version="1.0" encoding="utf-8"?>
<Properties xmlns="http://schemas.openxmlformats.org/officeDocument/2006/custom-properties" xmlns:vt="http://schemas.openxmlformats.org/officeDocument/2006/docPropsVTypes"/>
</file>