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A3C5E"/>
          <w:sz w:val="44"/>
          <w:szCs w:val="44"/>
        </w:rPr>
        <w:t xml:space="preserve">Bachelor Thesis – Research Design</w:t>
      </w:r>
    </w:p>
    <w:p>
      <w:pPr>
        <w:spacing w:after="120"/>
        <w:jc w:val="center"/>
      </w:pPr>
      <w:r>
        <w:rPr>
          <w:color w:val="2B5C8A"/>
          <w:sz w:val="28"/>
          <w:szCs w:val="28"/>
        </w:rPr>
        <w:t xml:space="preserve">From Liberation Day to the Strait of Hormuz:</w:t>
      </w:r>
    </w:p>
    <w:p>
      <w:pPr>
        <w:spacing w:after="80"/>
        <w:jc w:val="center"/>
      </w:pPr>
      <w:r>
        <w:rPr>
          <w:color w:val="2B5C8A"/>
          <w:sz w:val="28"/>
          <w:szCs w:val="28"/>
        </w:rPr>
        <w:t xml:space="preserve">Safe-Haven Currencies, Commodity Prices, and the</w:t>
      </w:r>
    </w:p>
    <w:p>
      <w:pPr>
        <w:spacing w:after="200"/>
        <w:jc w:val="center"/>
      </w:pPr>
      <w:r>
        <w:rPr>
          <w:color w:val="2B5C8A"/>
          <w:sz w:val="28"/>
          <w:szCs w:val="28"/>
        </w:rPr>
        <w:t xml:space="preserve">Geopolitical Risk Premium in 2025–2026</w:t>
      </w:r>
    </w:p>
    <w:p>
      <w:pPr>
        <w:pBdr>
          <w:bottom w:val="single" w:color="2B5C8A" w:sz="6" w:space="1"/>
        </w:pBdr>
        <w:spacing w:before="200" w:after="200"/>
      </w:pPr>
    </w:p>
    <w:p>
      <w:pPr>
        <w:spacing w:after="60"/>
        <w:jc w:val="center"/>
      </w:pPr>
      <w:r>
        <w:rPr>
          <w:color w:val="555555"/>
          <w:sz w:val="22"/>
          <w:szCs w:val="22"/>
        </w:rPr>
        <w:t xml:space="preserve">Special Topics in International Finance</w:t>
      </w:r>
    </w:p>
    <w:p>
      <w:pPr>
        <w:spacing w:after="60"/>
        <w:jc w:val="center"/>
      </w:pPr>
      <w:r>
        <w:rPr>
          <w:color w:val="555555"/>
          <w:sz w:val="22"/>
          <w:szCs w:val="22"/>
        </w:rPr>
        <w:t xml:space="preserve">University of Mannheim – Prof. Husnu C. Dalgic</w:t>
      </w:r>
    </w:p>
    <w:p>
      <w:pPr>
        <w:spacing w:before="400"/>
        <w:jc w:val="center"/>
      </w:pPr>
      <w:r>
        <w:rPr>
          <w:color w:val="888888"/>
          <w:sz w:val="20"/>
          <w:szCs w:val="20"/>
        </w:rPr>
        <w:t xml:space="preserve">Draft: March 2026</w:t>
      </w:r>
    </w:p>
    <w:p>
      <w:r>
        <w:br w:type="page"/>
      </w:r>
    </w:p>
    <w:p>
      <w:pPr>
        <w:pStyle w:val="Heading1"/>
      </w:pPr>
      <w:r>
        <w:t xml:space="preserve">1. Research Question</w:t>
      </w:r>
    </w:p>
    <w:p>
      <w:pPr>
        <w:spacing w:after="120" w:line="276"/>
      </w:pPr>
      <w:r>
        <w:t xml:space="preserve">Do safe-haven currencies, commodity prices, and the broader cross-section of currency returns respond differently to U.S.-originated trade-policy shocks versus external geopolitical/commodity supply shocks? This thesis provides a comparative empirical analysis of two major events within a year of each other:</w:t>
      </w:r>
    </w:p>
    <w:p>
      <w:pPr>
        <w:pStyle w:val="ListParagraph"/>
        <w:numPr>
          <w:ilvl w:val="0"/>
          <w:numId w:val="2"/>
        </w:numPr>
        <w:spacing w:after="60" w:line="276"/>
      </w:pPr>
      <w:r>
        <w:rPr>
          <w:b/>
          <w:bCs/>
        </w:rPr>
        <w:t xml:space="preserve">Liberation Day (April 2, 2025): </w:t>
      </w:r>
      <w:r>
        <w:t xml:space="preserve">The U.S. announced sweeping tariffs on virtually all trading partners. The dollar depreciated 6%+ against the euro, breaking the standard safe-haven pattern. Gold rose, VIX spiked, and U.S. Treasury yields initially fell then surged.</w:t>
      </w:r>
    </w:p>
    <w:p>
      <w:pPr>
        <w:pStyle w:val="ListParagraph"/>
        <w:numPr>
          <w:ilvl w:val="0"/>
          <w:numId w:val="2"/>
        </w:numPr>
        <w:spacing w:after="60" w:line="276"/>
      </w:pPr>
      <w:r>
        <w:rPr>
          <w:b/>
          <w:bCs/>
        </w:rPr>
        <w:t xml:space="preserve">Israel-Iran Escalation (June 2025 – March 2026): </w:t>
      </w:r>
      <w:r>
        <w:t xml:space="preserve">Israeli and U.S. strikes on Iran’s nuclear facilities (June 2025), followed by a broader military escalation in February 2026 including Iran’s closure of the Strait of Hormuz. Brent crude surged from ~$70 to over $110/bbl. Asian oil-importing currencies (JPY, KRW, INR) came under severe pressure, while the dollar initially strengthened – the opposite of the tariff shock.</w:t>
      </w:r>
    </w:p>
    <w:p>
      <w:pPr>
        <w:spacing w:after="120" w:line="276"/>
      </w:pPr>
      <w:r>
        <w:t xml:space="preserve">The core insight is that these two shocks produced mirror-image currency responses: the tariff shock weakened the dollar (U.S.-originated uncertainty), while the Iran shock initially strengthened it (external threat triggering classic flight-to-safety). By comparing the two events within a unified empirical framework, the thesis tests whether the safe-haven hierarchy depends on the origin and type of the shock.</w:t>
      </w:r>
    </w:p>
    <w:p>
      <w:pPr>
        <w:pBdr>
          <w:bottom w:val="single" w:color="2B5C8A" w:sz="6" w:space="1"/>
        </w:pBdr>
        <w:spacing w:before="200" w:after="200"/>
      </w:pPr>
    </w:p>
    <w:p>
      <w:pPr>
        <w:pStyle w:val="Heading1"/>
      </w:pPr>
      <w:r>
        <w:t xml:space="preserve">2. Contribution &amp; Why This Matters</w:t>
      </w:r>
    </w:p>
    <w:p>
      <w:pPr>
        <w:pStyle w:val="ListParagraph"/>
        <w:numPr>
          <w:ilvl w:val="0"/>
          <w:numId w:val="2"/>
        </w:numPr>
        <w:spacing w:after="60" w:line="276"/>
      </w:pPr>
      <w:r>
        <w:t xml:space="preserve">Timeliness: both events are extremely recent and under active study by the ECB, Bank of England, IMF, and Fed. A bachelor thesis completing this analysis in 2026 would be among the first comprehensive empirical comparisons.</w:t>
      </w:r>
    </w:p>
    <w:p>
      <w:pPr>
        <w:pStyle w:val="ListParagraph"/>
        <w:numPr>
          <w:ilvl w:val="0"/>
          <w:numId w:val="2"/>
        </w:numPr>
        <w:spacing w:after="60" w:line="276"/>
      </w:pPr>
      <w:r>
        <w:t xml:space="preserve">Novelty: existing papers (Corsetti, Lloyd &amp; Ostry 2025; ECB FSR Nov 2025) focus on the tariff shock alone. No study yet systematically compares the Liberation Day and Iran/Hormuz currency dynamics within the same framework.</w:t>
      </w:r>
    </w:p>
    <w:p>
      <w:pPr>
        <w:pStyle w:val="ListParagraph"/>
        <w:numPr>
          <w:ilvl w:val="0"/>
          <w:numId w:val="2"/>
        </w:numPr>
        <w:spacing w:after="60" w:line="276"/>
      </w:pPr>
      <w:r>
        <w:t xml:space="preserve">Commodity dimension: adding oil prices as both a control variable and an asset of interest connects the currency-return literature (Lustig et al. 2011) with the commodity-currency literature (Chen &amp; Rogoff 2003) and the geopolitical risk literature (Liu &amp; Zhang 2024).</w:t>
      </w:r>
    </w:p>
    <w:p>
      <w:pPr>
        <w:pStyle w:val="ListParagraph"/>
        <w:numPr>
          <w:ilvl w:val="0"/>
          <w:numId w:val="2"/>
        </w:numPr>
        <w:spacing w:after="60" w:line="276"/>
      </w:pPr>
      <w:r>
        <w:t xml:space="preserve">Directly extends Projects 2 and 3 from the course, reusing the currency classification and factor structure.</w:t>
      </w:r>
    </w:p>
    <w:p>
      <w:r>
        <w:br w:type="page"/>
      </w:r>
    </w:p>
    <w:p>
      <w:pPr>
        <w:pStyle w:val="Heading1"/>
      </w:pPr>
      <w:r>
        <w:t xml:space="preserve">3. Methodology</w:t>
      </w:r>
    </w:p>
    <w:p>
      <w:pPr>
        <w:spacing w:after="120" w:line="276"/>
      </w:pPr>
      <w:r>
        <w:t xml:space="preserve">The thesis uses a three-layer empirical approach, escalating in complexity. Each layer answers a distinct question and can stand alone, but together they form a coherent picture.</w:t>
      </w:r>
    </w:p>
    <w:p>
      <w:pPr>
        <w:pStyle w:val="Heading2"/>
      </w:pPr>
      <w:r>
        <w:t xml:space="preserve">3.1 Layer 1: Event Study (Baseline)</w:t>
      </w:r>
    </w:p>
    <w:p>
      <w:pPr>
        <w:spacing w:after="120" w:line="276"/>
      </w:pPr>
      <w:r>
        <w:rPr>
          <w:b/>
          <w:bCs/>
        </w:rPr>
        <w:t xml:space="preserve">Question: </w:t>
      </w:r>
      <w:r>
        <w:t xml:space="preserve">How do different currency groups and commodities respond in the immediate aftermath of each shock?</w:t>
      </w:r>
    </w:p>
    <w:p>
      <w:pPr>
        <w:pStyle w:val="Heading3"/>
      </w:pPr>
      <w:r>
        <w:t xml:space="preserve">Setup</w:t>
      </w:r>
    </w:p>
    <w:p>
      <w:pPr>
        <w:spacing w:after="120" w:line="276"/>
      </w:pPr>
      <w:r>
        <w:t xml:space="preserve">Define two event windows around each shock. The estimation window (120 trading days before the event) provides the baseline for “normal” returns. The event window (±10 trading days) captures the abnormal response.</w:t>
      </w:r>
    </w:p>
    <w:p>
      <w:pPr>
        <w:spacing w:after="120" w:line="276"/>
      </w:pPr>
      <w:r>
        <w:rPr>
          <w:b/>
          <w:bCs/>
        </w:rPr>
        <w:t xml:space="preserve">Abnormal return: </w:t>
      </w:r>
      <w:r>
        <w:t xml:space="preserve">AR(i,t) = R(i,t) – E[R(i,t)], where E[R(i,t)] is estimated from a market model (regressing currency i’s return on the dollar factor during the estimation window).</w:t>
      </w:r>
    </w:p>
    <w:p>
      <w:pPr>
        <w:spacing w:after="120" w:line="276"/>
      </w:pPr>
      <w:r>
        <w:rPr>
          <w:b/>
          <w:bCs/>
        </w:rPr>
        <w:t xml:space="preserve">Cumulative abnormal return: </w:t>
      </w:r>
      <w:r>
        <w:t xml:space="preserve">CAR(i, t1, t2) = Σ AR(i,t) over the event window.</w:t>
      </w:r>
    </w:p>
    <w:p>
      <w:pPr>
        <w:pStyle w:val="Heading3"/>
      </w:pPr>
      <w:r>
        <w:t xml:space="preserve">Portfolio construction</w:t>
      </w:r>
    </w:p>
    <w:p>
      <w:pPr>
        <w:spacing w:after="120" w:line="276"/>
      </w:pPr>
      <w:r>
        <w:t xml:space="preserve">Sort the 30 currencies into groups along two dimensions:</w:t>
      </w:r>
    </w:p>
    <w:p>
      <w:pPr>
        <w:pStyle w:val="ListParagraph"/>
        <w:numPr>
          <w:ilvl w:val="0"/>
          <w:numId w:val="2"/>
        </w:numPr>
        <w:spacing w:after="60" w:line="276"/>
      </w:pPr>
      <w:r>
        <w:rPr>
          <w:b/>
          <w:bCs/>
        </w:rPr>
        <w:t xml:space="preserve">Safe vs. Risky (from Project 2): </w:t>
      </w:r>
      <w:r>
        <w:t xml:space="preserve">Based on carry-trade beta (loading on the Lustig et al. Carry factor). Safe: JPY, CHF, EUR, SEK, DKK. Risky: TRY, BRL, ZAR, MXN, COP, IDR.</w:t>
      </w:r>
    </w:p>
    <w:p>
      <w:pPr>
        <w:pStyle w:val="ListParagraph"/>
        <w:numPr>
          <w:ilvl w:val="0"/>
          <w:numId w:val="2"/>
        </w:numPr>
        <w:spacing w:after="60" w:line="276"/>
      </w:pPr>
      <w:r>
        <w:rPr>
          <w:b/>
          <w:bCs/>
        </w:rPr>
        <w:t xml:space="preserve">Oil exporters vs. Oil importers: </w:t>
      </w:r>
      <w:r>
        <w:t xml:space="preserve">Based on net oil trade position. Exporters: NOK, CAD, COP, MXN, RUB. Importers: JPY, KRW, INR, TRY, EUR.</w:t>
      </w:r>
    </w:p>
    <w:p>
      <w:pPr>
        <w:spacing w:after="120" w:line="276"/>
      </w:pPr>
      <w:r>
        <w:t xml:space="preserve">For each group, compute the equally-weighted portfolio CAR around each event. Test whether CARs differ significantly between groups using t-tests and non-parametric rank tests.</w:t>
      </w:r>
    </w:p>
    <w:p>
      <w:pPr>
        <w:pStyle w:val="Heading3"/>
      </w:pPr>
      <w:r>
        <w:t xml:space="preserve">What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34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Tariff Shock (Apr 2025)</w:t>
            </w:r>
          </w:p>
        </w:tc>
        <w:tc>
          <w:tcPr>
            <w:tcW w:type="dxa" w:w="234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Iran/Hormuz Shock (2025-26)</w:t>
            </w:r>
          </w:p>
        </w:tc>
        <w:tc>
          <w:tcPr>
            <w:tcW w:type="dxa" w:w="234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Prediction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Depreciated ≈6%</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Appreciated initially</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Opposite signs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Safe currencies (CHF, JPY)</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Appreciated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JPY: conflicted (safe haven vs oil importer)</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JPY weaker due to oil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Risky EM currencies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Mixed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Depreciated (risk-off)</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Similar direction, different magnitude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Oil exporters (NOK, CAD)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Modest effect</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Appreciated (oil windfall)</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Divergence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Gold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Rose</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Rose</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Universal safe haven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Brent crude</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Fell (demand fears)</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Surged (supply disruption)</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Opposite signs</w:t>
            </w:r>
          </w:p>
        </w:tc>
      </w:tr>
    </w:tbl>
    <w:p>
      <w:r>
        <w:br w:type="page"/>
      </w:r>
    </w:p>
    <w:p>
      <w:pPr>
        <w:pStyle w:val="Heading2"/>
      </w:pPr>
      <w:r>
        <w:t xml:space="preserve">3.2 Layer 2: DCC-GARCH (Time-Varying Correlations)</w:t>
      </w:r>
    </w:p>
    <w:p>
      <w:pPr>
        <w:spacing w:after="120" w:line="276"/>
      </w:pPr>
      <w:r>
        <w:rPr>
          <w:b/>
          <w:bCs/>
        </w:rPr>
        <w:t xml:space="preserve">Question: </w:t>
      </w:r>
      <w:r>
        <w:t xml:space="preserve">How do the correlations between safe-haven assets and risk assets change during each crisis? Is the dollar’s safe-haven correlation with the VIX stable, or does it break down during the tariff shock?</w:t>
      </w:r>
    </w:p>
    <w:p>
      <w:pPr>
        <w:pStyle w:val="Heading3"/>
      </w:pPr>
      <w:r>
        <w:t xml:space="preserve">Model specification</w:t>
      </w:r>
    </w:p>
    <w:p>
      <w:pPr>
        <w:spacing w:after="120" w:line="276"/>
      </w:pPr>
      <w:r>
        <w:t xml:space="preserve">Estimate a DCC-GARCH(1,1) model (Engle 2002) on a system of 6–8 daily return series:</w:t>
      </w:r>
    </w:p>
    <w:p>
      <w:pPr>
        <w:pStyle w:val="ListParagraph"/>
        <w:numPr>
          <w:ilvl w:val="0"/>
          <w:numId w:val="2"/>
        </w:numPr>
        <w:spacing w:after="60" w:line="276"/>
      </w:pPr>
      <w:r>
        <w:t xml:space="preserve">USD index (DXY or trade-weighted)</w:t>
      </w:r>
    </w:p>
    <w:p>
      <w:pPr>
        <w:pStyle w:val="ListParagraph"/>
        <w:numPr>
          <w:ilvl w:val="0"/>
          <w:numId w:val="2"/>
        </w:numPr>
        <w:spacing w:after="60" w:line="276"/>
      </w:pPr>
      <w:r>
        <w:t xml:space="preserve">EUR/USD, JPY/USD, CHF/USD (safe havens)</w:t>
      </w:r>
    </w:p>
    <w:p>
      <w:pPr>
        <w:pStyle w:val="ListParagraph"/>
        <w:numPr>
          <w:ilvl w:val="0"/>
          <w:numId w:val="2"/>
        </w:numPr>
        <w:spacing w:after="60" w:line="276"/>
      </w:pPr>
      <w:r>
        <w:t xml:space="preserve">Brent crude oil returns</w:t>
      </w:r>
    </w:p>
    <w:p>
      <w:pPr>
        <w:pStyle w:val="ListParagraph"/>
        <w:numPr>
          <w:ilvl w:val="0"/>
          <w:numId w:val="2"/>
        </w:numPr>
        <w:spacing w:after="60" w:line="276"/>
      </w:pPr>
      <w:r>
        <w:t xml:space="preserve">Gold returns</w:t>
      </w:r>
    </w:p>
    <w:p>
      <w:pPr>
        <w:pStyle w:val="ListParagraph"/>
        <w:numPr>
          <w:ilvl w:val="0"/>
          <w:numId w:val="2"/>
        </w:numPr>
        <w:spacing w:after="60" w:line="276"/>
      </w:pPr>
      <w:r>
        <w:t xml:space="preserve">VIX (as a realized volatility proxy)</w:t>
      </w:r>
    </w:p>
    <w:p>
      <w:pPr>
        <w:pStyle w:val="ListParagraph"/>
        <w:numPr>
          <w:ilvl w:val="0"/>
          <w:numId w:val="2"/>
        </w:numPr>
        <w:spacing w:after="60" w:line="276"/>
      </w:pPr>
      <w:r>
        <w:t xml:space="preserve">An EM currency basket (equally-weighted TRY, BRL, ZAR, MXN)</w:t>
      </w:r>
    </w:p>
    <w:p>
      <w:pPr>
        <w:spacing w:after="120" w:line="276"/>
      </w:pPr>
      <w:r>
        <w:t xml:space="preserve">The DCC-GARCH proceeds in two steps:</w:t>
      </w:r>
    </w:p>
    <w:p>
      <w:pPr>
        <w:spacing w:after="120" w:line="276"/>
      </w:pPr>
      <w:r>
        <w:rPr>
          <w:b/>
          <w:bCs/>
        </w:rPr>
        <w:t xml:space="preserve">Step 1 – Univariate GARCH(1,1): </w:t>
      </w:r>
      <w:r>
        <w:t xml:space="preserve">Estimate a GARCH(1,1) for each series to obtain standardized residuals. This captures volatility clustering (volatility begets volatility).</w:t>
      </w:r>
    </w:p>
    <w:p>
      <w:pPr>
        <w:spacing w:after="120" w:line="276"/>
      </w:pPr>
      <w:r>
        <w:rPr>
          <w:b/>
          <w:bCs/>
        </w:rPr>
        <w:t xml:space="preserve">Step 2 – Dynamic correlations: </w:t>
      </w:r>
      <w:r>
        <w:t xml:space="preserve">Model the time-varying correlation matrix of the standardized residuals using the DCC specification. The key output is a time-varying pairwise correlation ρ(i,j,t) for every pair of assets at every point in time.</w:t>
      </w:r>
    </w:p>
    <w:p>
      <w:pPr>
        <w:pStyle w:val="Heading3"/>
      </w:pPr>
      <w:r>
        <w:t xml:space="preserve">What to plot and test</w:t>
      </w:r>
    </w:p>
    <w:p>
      <w:pPr>
        <w:pStyle w:val="ListParagraph"/>
        <w:numPr>
          <w:ilvl w:val="0"/>
          <w:numId w:val="2"/>
        </w:numPr>
        <w:spacing w:after="60" w:line="276"/>
      </w:pPr>
      <w:r>
        <w:rPr>
          <w:b/>
          <w:bCs/>
        </w:rPr>
        <w:t xml:space="preserve">ρ(USD, VIX) over time: </w:t>
      </w:r>
      <w:r>
        <w:t xml:space="preserve">Should be positive (dollar strengthens when VIX rises → safe haven). Test whether this correlation turns negative around Liberation Day.</w:t>
      </w:r>
    </w:p>
    <w:p>
      <w:pPr>
        <w:pStyle w:val="ListParagraph"/>
        <w:numPr>
          <w:ilvl w:val="0"/>
          <w:numId w:val="2"/>
        </w:numPr>
        <w:spacing w:after="60" w:line="276"/>
      </w:pPr>
      <w:r>
        <w:rPr>
          <w:b/>
          <w:bCs/>
        </w:rPr>
        <w:t xml:space="preserve">ρ(Gold, VIX) over time: </w:t>
      </w:r>
      <w:r>
        <w:t xml:space="preserve">Should remain positive throughout → gold as a consistent safe haven.</w:t>
      </w:r>
    </w:p>
    <w:p>
      <w:pPr>
        <w:pStyle w:val="ListParagraph"/>
        <w:numPr>
          <w:ilvl w:val="0"/>
          <w:numId w:val="2"/>
        </w:numPr>
        <w:spacing w:after="60" w:line="276"/>
      </w:pPr>
      <w:r>
        <w:rPr>
          <w:b/>
          <w:bCs/>
        </w:rPr>
        <w:t xml:space="preserve">ρ(Oil, EM currencies) over time: </w:t>
      </w:r>
      <w:r>
        <w:t xml:space="preserve">Should spike during the Hormuz crisis as oil-importing EM currencies get hit.</w:t>
      </w:r>
    </w:p>
    <w:p>
      <w:pPr>
        <w:pStyle w:val="ListParagraph"/>
        <w:numPr>
          <w:ilvl w:val="0"/>
          <w:numId w:val="2"/>
        </w:numPr>
        <w:spacing w:after="60" w:line="276"/>
      </w:pPr>
      <w:r>
        <w:rPr>
          <w:b/>
          <w:bCs/>
        </w:rPr>
        <w:t xml:space="preserve">ρ(Oil exporters, Oil) over time: </w:t>
      </w:r>
      <w:r>
        <w:t xml:space="preserve">Should be positive and strengthen during the Iran shock.</w:t>
      </w:r>
    </w:p>
    <w:p>
      <w:pPr>
        <w:pStyle w:val="Heading3"/>
      </w:pPr>
      <w:r>
        <w:t xml:space="preserve">Safe-haven test (Baur &amp; Lucey 2010 approach)</w:t>
      </w:r>
    </w:p>
    <w:p>
      <w:pPr>
        <w:spacing w:after="120" w:line="276"/>
      </w:pPr>
      <w:r>
        <w:t xml:space="preserve">Regress the DCC estimates on crisis dummies:</w:t>
      </w:r>
    </w:p>
    <w:p>
      <w:pPr>
        <w:spacing w:after="120" w:line="276"/>
      </w:pPr>
      <w:r>
        <w:rPr>
          <w:rFonts w:ascii="Courier New" w:cs="Courier New" w:eastAsia="Courier New" w:hAnsi="Courier New"/>
          <w:sz w:val="20"/>
          <w:szCs w:val="20"/>
        </w:rPr>
        <w:t xml:space="preserve">ρ(i,j,t) = c + β₁ D(tariff) + β₂ D(Iran_June2025) + β₃ D(Iran_Feb2026) + ε(t)</w:t>
      </w:r>
    </w:p>
    <w:p>
      <w:pPr>
        <w:spacing w:after="120" w:line="276"/>
      </w:pPr>
      <w:r>
        <w:t xml:space="preserve">where D(event) = 1 during the event window. A negative and significant β for the USD-VIX pair during the tariff event would formally confirm the dollar’s safe-haven breakdown. A positive β for gold-VIX during all events would confirm gold’s universal safe-haven status.</w:t>
      </w:r>
    </w:p>
    <w:p>
      <w:pPr>
        <w:pStyle w:val="Heading3"/>
      </w:pPr>
      <w:r>
        <w:t xml:space="preserve">Python implementation</w:t>
      </w:r>
    </w:p>
    <w:p>
      <w:pPr>
        <w:spacing w:after="120" w:line="276"/>
      </w:pPr>
      <w:r>
        <w:t xml:space="preserve">The arch library provides a clean DCC-GARCH implementation:</w:t>
      </w:r>
    </w:p>
    <w:p>
      <w:pPr>
        <w:shd w:fill="F5F5F5" w:val="clear"/>
        <w:spacing w:after="100" w:line="240"/>
        <w:ind w:left="360" w:right="360"/>
      </w:pPr>
      <w:r>
        <w:rPr>
          <w:rFonts w:ascii="Courier New" w:cs="Courier New" w:eastAsia="Courier New" w:hAnsi="Courier New"/>
          <w:sz w:val="18"/>
          <w:szCs w:val="18"/>
        </w:rPr>
        <w:t xml:space="preserve">pip install arch</w:t>
      </w:r>
    </w:p>
    <w:p>
      <w:pPr>
        <w:shd w:fill="F5F5F5" w:val="clear"/>
        <w:spacing w:after="100" w:line="240"/>
        <w:ind w:left="360" w:right="360"/>
      </w:pPr>
      <w:r>
        <w:rPr>
          <w:rFonts w:ascii="Courier New" w:cs="Courier New" w:eastAsia="Courier New" w:hAnsi="Courier New"/>
          <w:sz w:val="18"/>
          <w:szCs w:val="18"/>
        </w:rPr>
        <w:t xml:space="preserve">from arch import arch_model</w:t>
      </w:r>
    </w:p>
    <w:p>
      <w:pPr>
        <w:shd w:fill="F5F5F5" w:val="clear"/>
        <w:spacing w:after="100" w:line="240"/>
        <w:ind w:left="360" w:right="360"/>
      </w:pPr>
      <w:r>
        <w:rPr>
          <w:rFonts w:ascii="Courier New" w:cs="Courier New" w:eastAsia="Courier New" w:hAnsi="Courier New"/>
          <w:sz w:val="18"/>
          <w:szCs w:val="18"/>
        </w:rPr>
        <w:t xml:space="preserve">from arch.univariate import GARCH</w:t>
      </w:r>
    </w:p>
    <w:p>
      <w:pPr>
        <w:shd w:fill="F5F5F5" w:val="clear"/>
        <w:spacing w:after="100" w:line="240"/>
        <w:ind w:left="360" w:right="360"/>
      </w:pPr>
      <w:r>
        <w:rPr>
          <w:rFonts w:ascii="Courier New" w:cs="Courier New" w:eastAsia="Courier New" w:hAnsi="Courier New"/>
          <w:sz w:val="18"/>
          <w:szCs w:val="18"/>
        </w:rPr>
        <w:t xml:space="preserve"># Step 1: Fit univariate GARCH(1,1) for each series</w:t>
      </w:r>
    </w:p>
    <w:p>
      <w:pPr>
        <w:shd w:fill="F5F5F5" w:val="clear"/>
        <w:spacing w:after="100" w:line="240"/>
        <w:ind w:left="360" w:right="360"/>
      </w:pPr>
      <w:r>
        <w:rPr>
          <w:rFonts w:ascii="Courier New" w:cs="Courier New" w:eastAsia="Courier New" w:hAnsi="Courier New"/>
          <w:sz w:val="18"/>
          <w:szCs w:val="18"/>
        </w:rPr>
        <w:t xml:space="preserve"># Step 2: Use mgarch or manual DCC on standardized residuals</w:t>
      </w:r>
    </w:p>
    <w:p>
      <w:pPr>
        <w:spacing w:after="120" w:line="276"/>
      </w:pPr>
      <w:r>
        <w:t xml:space="preserve">Alternatively, use the rmgarch package via rpy2 if preferred, or implement the two-step DCC estimator manually following Engle (2002). Several Python tutorials exist (see Medium: Ngaridennis 2023).</w:t>
      </w:r>
    </w:p>
    <w:p>
      <w:r>
        <w:br w:type="page"/>
      </w:r>
    </w:p>
    <w:p>
      <w:pPr>
        <w:pStyle w:val="Heading2"/>
      </w:pPr>
      <w:r>
        <w:t xml:space="preserve">3.3 Layer 3: Structural VAR (Shock Decomposition)</w:t>
      </w:r>
    </w:p>
    <w:p>
      <w:pPr>
        <w:spacing w:after="120" w:line="276"/>
      </w:pPr>
      <w:r>
        <w:rPr>
          <w:b/>
          <w:bCs/>
        </w:rPr>
        <w:t xml:space="preserve">Question: </w:t>
      </w:r>
      <w:r>
        <w:t xml:space="preserve">Can we decompose the currency response into (a) a geopolitical risk channel, (b) an oil price channel, and (c) a U.S. policy uncertainty channel?</w:t>
      </w:r>
    </w:p>
    <w:p>
      <w:pPr>
        <w:pStyle w:val="Heading3"/>
      </w:pPr>
      <w:r>
        <w:t xml:space="preserve">VAR specification</w:t>
      </w:r>
    </w:p>
    <w:p>
      <w:pPr>
        <w:spacing w:after="120" w:line="276"/>
      </w:pPr>
      <w:r>
        <w:t xml:space="preserve">Estimate a structural VAR with the following variables (daily data, 2020–2026):</w:t>
      </w:r>
    </w:p>
    <w:p>
      <w:pPr>
        <w:pStyle w:val="ListParagraph"/>
        <w:numPr>
          <w:ilvl w:val="0"/>
          <w:numId w:val="3"/>
        </w:numPr>
        <w:spacing w:after="80" w:line="276"/>
      </w:pPr>
      <w:r>
        <w:t xml:space="preserve">GPR index (Caldara &amp; Iacoviello) – ordered first (most exogenous)</w:t>
      </w:r>
    </w:p>
    <w:p>
      <w:pPr>
        <w:pStyle w:val="ListParagraph"/>
        <w:numPr>
          <w:ilvl w:val="0"/>
          <w:numId w:val="3"/>
        </w:numPr>
        <w:spacing w:after="80" w:line="276"/>
      </w:pPr>
      <w:r>
        <w:t xml:space="preserve">Brent crude oil returns</w:t>
      </w:r>
    </w:p>
    <w:p>
      <w:pPr>
        <w:pStyle w:val="ListParagraph"/>
        <w:numPr>
          <w:ilvl w:val="0"/>
          <w:numId w:val="3"/>
        </w:numPr>
        <w:spacing w:after="80" w:line="276"/>
      </w:pPr>
      <w:r>
        <w:t xml:space="preserve">VIX</w:t>
      </w:r>
    </w:p>
    <w:p>
      <w:pPr>
        <w:pStyle w:val="ListParagraph"/>
        <w:numPr>
          <w:ilvl w:val="0"/>
          <w:numId w:val="3"/>
        </w:numPr>
        <w:spacing w:after="80" w:line="276"/>
      </w:pPr>
      <w:r>
        <w:t xml:space="preserve">U.S. Trade Policy Uncertainty index (if available) or U.S. Economic Policy Uncertainty (EPU)</w:t>
      </w:r>
    </w:p>
    <w:p>
      <w:pPr>
        <w:pStyle w:val="ListParagraph"/>
        <w:numPr>
          <w:ilvl w:val="0"/>
          <w:numId w:val="3"/>
        </w:numPr>
        <w:spacing w:after="80" w:line="276"/>
      </w:pPr>
      <w:r>
        <w:t xml:space="preserve">Safe-haven currency portfolio return (CHF + JPY + EUR basket)</w:t>
      </w:r>
    </w:p>
    <w:p>
      <w:pPr>
        <w:pStyle w:val="ListParagraph"/>
        <w:numPr>
          <w:ilvl w:val="0"/>
          <w:numId w:val="3"/>
        </w:numPr>
        <w:spacing w:after="80" w:line="276"/>
      </w:pPr>
      <w:r>
        <w:t xml:space="preserve">Risky currency portfolio return (TRY + BRL + ZAR + MXN basket)</w:t>
      </w:r>
    </w:p>
    <w:p>
      <w:pPr>
        <w:pStyle w:val="ListParagraph"/>
        <w:numPr>
          <w:ilvl w:val="0"/>
          <w:numId w:val="3"/>
        </w:numPr>
        <w:spacing w:after="80" w:line="276"/>
      </w:pPr>
      <w:r>
        <w:t xml:space="preserve">USD broad index (DXY)</w:t>
      </w:r>
    </w:p>
    <w:p>
      <w:pPr>
        <w:spacing w:after="120" w:line="276"/>
      </w:pPr>
      <w:r>
        <w:t xml:space="preserve">Use a Cholesky decomposition with the ordering above to identify structural shocks. The ordering assumes geopolitical risk and oil prices are the most exogenous (not contemporaneously affected by currency markets), while currency returns respond to everything.</w:t>
      </w:r>
    </w:p>
    <w:p>
      <w:pPr>
        <w:pStyle w:val="Heading3"/>
      </w:pPr>
      <w:r>
        <w:t xml:space="preserve">Impulse Response Functions (IRFs)</w:t>
      </w:r>
    </w:p>
    <w:p>
      <w:pPr>
        <w:spacing w:after="120" w:line="276"/>
      </w:pPr>
      <w:r>
        <w:t xml:space="preserve">Compute IRFs for 1–20 trading days after each structural shock. Key IRFs to report:</w:t>
      </w:r>
    </w:p>
    <w:p>
      <w:pPr>
        <w:pStyle w:val="ListParagraph"/>
        <w:numPr>
          <w:ilvl w:val="0"/>
          <w:numId w:val="2"/>
        </w:numPr>
        <w:spacing w:after="60" w:line="276"/>
      </w:pPr>
      <w:r>
        <w:t xml:space="preserve">Response of safe currency basket to a GPR shock: should appreciate (flight to safety).</w:t>
      </w:r>
    </w:p>
    <w:p>
      <w:pPr>
        <w:pStyle w:val="ListParagraph"/>
        <w:numPr>
          <w:ilvl w:val="0"/>
          <w:numId w:val="2"/>
        </w:numPr>
        <w:spacing w:after="60" w:line="276"/>
      </w:pPr>
      <w:r>
        <w:t xml:space="preserve">Response of USD to a GPR shock: should appreciate for external GPR shocks, but may depreciate if the shock is U.S.-originated.</w:t>
      </w:r>
    </w:p>
    <w:p>
      <w:pPr>
        <w:pStyle w:val="ListParagraph"/>
        <w:numPr>
          <w:ilvl w:val="0"/>
          <w:numId w:val="2"/>
        </w:numPr>
        <w:spacing w:after="60" w:line="276"/>
      </w:pPr>
      <w:r>
        <w:t xml:space="preserve">Response of oil exporters to an oil price shock: should appreciate.</w:t>
      </w:r>
    </w:p>
    <w:p>
      <w:pPr>
        <w:pStyle w:val="ListParagraph"/>
        <w:numPr>
          <w:ilvl w:val="0"/>
          <w:numId w:val="2"/>
        </w:numPr>
        <w:spacing w:after="60" w:line="276"/>
      </w:pPr>
      <w:r>
        <w:t xml:space="preserve">Response of oil importers (JPY, KRW) to an oil price shock: should depreciate.</w:t>
      </w:r>
    </w:p>
    <w:p>
      <w:pPr>
        <w:pStyle w:val="Heading3"/>
      </w:pPr>
      <w:r>
        <w:t xml:space="preserve">Subsample comparison</w:t>
      </w:r>
    </w:p>
    <w:p>
      <w:pPr>
        <w:spacing w:after="120" w:line="276"/>
      </w:pPr>
      <w:r>
        <w:t xml:space="preserve">Estimate the VAR over two subsamples: (1) the tariff period (Jan–Aug 2025) and (2) the Iran escalation period (Sep 2025–Mar 2026). Compare the IRFs to test whether the dollar’s response to GPR shocks flips sign between the two periods.</w:t>
      </w:r>
    </w:p>
    <w:p>
      <w:pPr>
        <w:pStyle w:val="Heading3"/>
      </w:pPr>
      <w:r>
        <w:t xml:space="preserve">Python implementation</w:t>
      </w:r>
    </w:p>
    <w:p>
      <w:pPr>
        <w:shd w:fill="F5F5F5" w:val="clear"/>
        <w:spacing w:after="100" w:line="240"/>
        <w:ind w:left="360" w:right="360"/>
      </w:pPr>
      <w:r>
        <w:rPr>
          <w:rFonts w:ascii="Courier New" w:cs="Courier New" w:eastAsia="Courier New" w:hAnsi="Courier New"/>
          <w:sz w:val="18"/>
          <w:szCs w:val="18"/>
        </w:rPr>
        <w:t xml:space="preserve">from statsmodels.tsa.api import VAR</w:t>
      </w:r>
    </w:p>
    <w:p>
      <w:pPr>
        <w:shd w:fill="F5F5F5" w:val="clear"/>
        <w:spacing w:after="100" w:line="240"/>
        <w:ind w:left="360" w:right="360"/>
      </w:pPr>
      <w:r>
        <w:rPr>
          <w:rFonts w:ascii="Courier New" w:cs="Courier New" w:eastAsia="Courier New" w:hAnsi="Courier New"/>
          <w:sz w:val="18"/>
          <w:szCs w:val="18"/>
        </w:rPr>
        <w:t xml:space="preserve">model = VAR(data).fit(maxlags=5, ic='aic')</w:t>
      </w:r>
    </w:p>
    <w:p>
      <w:pPr>
        <w:shd w:fill="F5F5F5" w:val="clear"/>
        <w:spacing w:after="100" w:line="240"/>
        <w:ind w:left="360" w:right="360"/>
      </w:pPr>
      <w:r>
        <w:rPr>
          <w:rFonts w:ascii="Courier New" w:cs="Courier New" w:eastAsia="Courier New" w:hAnsi="Courier New"/>
          <w:sz w:val="18"/>
          <w:szCs w:val="18"/>
        </w:rPr>
        <w:t xml:space="preserve">irf = model.irf(periods=20)</w:t>
      </w:r>
    </w:p>
    <w:p>
      <w:pPr>
        <w:shd w:fill="F5F5F5" w:val="clear"/>
        <w:spacing w:after="100" w:line="240"/>
        <w:ind w:left="360" w:right="360"/>
      </w:pPr>
      <w:r>
        <w:rPr>
          <w:rFonts w:ascii="Courier New" w:cs="Courier New" w:eastAsia="Courier New" w:hAnsi="Courier New"/>
          <w:sz w:val="18"/>
          <w:szCs w:val="18"/>
        </w:rPr>
        <w:t xml:space="preserve">irf.plot(impulse='GPR', response=['USD','Safe_basket','Oil_exporters'])</w:t>
      </w:r>
    </w:p>
    <w:p>
      <w:r>
        <w:br w:type="page"/>
      </w:r>
    </w:p>
    <w:p>
      <w:pPr>
        <w:pStyle w:val="Heading1"/>
      </w:pPr>
      <w:r>
        <w:t xml:space="preserve">4.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1200"/>
        <w:gridCol w:w="14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1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Spot exchange rates (30 currencies vs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Course dataset + Yahoo Finance / Investing.com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Brent crude oil (front-month futures)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FRED (DCOILBRENTEU) / Yahoo (BZ=F)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Gold price (USD/oz)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FRED (GOLDAMGBD228NLBM) / Yahoo (GC=F)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VIX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Yahoo Finance (^VIX) / CBOE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GPR index (global + country)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matteoiacoviello.com/gpr.htm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 / Monthly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 EPU / TPU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policyuncertainty.com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 / Monthly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S&amp;P 500 returns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Yahoo Finance (^GSPC)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Dollar &amp; Carry factors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Course dataset / Lustig’s website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Monthly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DXY (Dollar index)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Yahoo Finance (DX-Y.NYB) / FRED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Daily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Tariff event timeline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Bown (2025) PIIE / Corsetti et al. appendix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Event-level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Net oil trade position (by country)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IEA / World Bank / EIA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Free</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CSV</w:t>
            </w:r>
          </w:p>
        </w:tc>
      </w:tr>
    </w:tbl>
    <w:p>
      <w:pPr>
        <w:spacing w:after="120" w:line="276"/>
      </w:pPr>
      <w:r>
        <w:rPr>
          <w:b/>
          <w:bCs/>
        </w:rPr>
        <w:t xml:space="preserve">Note: </w:t>
      </w:r>
      <w:r>
        <w:t xml:space="preserve">All data is freely available. No Bloomberg access required. If Bloomberg is available through the university, it can provide cleaner/higher-frequency FX and CIP basis data, but the thesis is fully feasible without it.</w:t>
      </w:r>
    </w:p>
    <w:p>
      <w:r>
        <w:br w:type="page"/>
      </w:r>
    </w:p>
    <w:p>
      <w:pPr>
        <w:pStyle w:val="Heading1"/>
      </w:pPr>
      <w:r>
        <w:t xml:space="preserve">5. Event Timeline</w:t>
      </w:r>
    </w:p>
    <w:p>
      <w:pPr>
        <w:spacing w:after="120" w:line="276"/>
      </w:pPr>
      <w:r>
        <w:t xml:space="preserve">The thesis compares currency responses across the following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26"/>
        <w:gridCol w:w="2000"/>
        <w:gridCol w:w="2000"/>
      </w:tblGrid>
      <w:tr>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3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Oil 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Apr 2, 2025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Liberation Day – U.S. announces sweeping tariffs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 trade policy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Fell (demand fears)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Apr 3–7, 2025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Market reaction: S&amp;P −11%, USD −6% vs 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Market stress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WTI to ~$60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Jun 13, 2025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Israel/U.S. strike Iran nuclear facilities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Geopolitical/military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Brent $65 → $80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Jun 21–23, 2025</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U.S. strikes on Iran; Iranian response; ceasefire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Geopolitical/military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Reverted to ~$68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Feb 2026</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Renewed U.S./Israeli military operations against Iran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Major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Brent $70 → $110+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Mar 4, 2026</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Iran closes Strait of Hormuz; attacks on shipping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Commodity supply shock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$110+ sustained</w:t>
            </w:r>
          </w:p>
        </w:tc>
      </w:tr>
    </w:tbl>
    <w:p>
      <w:pPr>
        <w:spacing w:after="120" w:line="276"/>
      </w:pPr>
      <w:r>
        <w:t xml:space="preserve">This gives you a rich variation in shock types: a demand/policy shock (tariffs → oil falls), a brief geopolitical shock (June 2025 → oil spikes then reverts), and a severe supply disruption (Feb–Mar 2026 → oil surge persists). The cross-comparison is the heart of the thesis.</w:t>
      </w:r>
    </w:p>
    <w:p>
      <w:r>
        <w:br w:type="page"/>
      </w:r>
    </w:p>
    <w:p>
      <w:pPr>
        <w:pStyle w:val="Heading1"/>
      </w:pPr>
      <w:r>
        <w:t xml:space="preserve">6. Key Literature</w:t>
      </w:r>
    </w:p>
    <w:p>
      <w:pPr>
        <w:pStyle w:val="Heading2"/>
      </w:pPr>
      <w:r>
        <w:t xml:space="preserve">Currency returns &amp; factor models</w:t>
      </w:r>
    </w:p>
    <w:p>
      <w:pPr>
        <w:pStyle w:val="ListParagraph"/>
        <w:numPr>
          <w:ilvl w:val="0"/>
          <w:numId w:val="2"/>
        </w:numPr>
        <w:spacing w:after="60" w:line="276"/>
      </w:pPr>
      <w:r>
        <w:rPr>
          <w:b/>
          <w:bCs/>
        </w:rPr>
        <w:t xml:space="preserve">Lustig, Roussanov &amp; Verdelhan (2011) </w:t>
      </w:r>
      <w:r>
        <w:t xml:space="preserve">– “Common Risk Factors in Currency Markets.” RFS. Establishes the Dollar and Carry factors.</w:t>
      </w:r>
    </w:p>
    <w:p>
      <w:pPr>
        <w:pStyle w:val="ListParagraph"/>
        <w:numPr>
          <w:ilvl w:val="0"/>
          <w:numId w:val="2"/>
        </w:numPr>
        <w:spacing w:after="60" w:line="276"/>
      </w:pPr>
      <w:r>
        <w:rPr>
          <w:b/>
          <w:bCs/>
        </w:rPr>
        <w:t xml:space="preserve">Dalgic &amp; Ozhan (2024) </w:t>
      </w:r>
      <w:r>
        <w:t xml:space="preserve">– “Global Shocks and Local Response.” Links global risk factors to EME currency returns and monetary policy.</w:t>
      </w:r>
    </w:p>
    <w:p>
      <w:pPr>
        <w:pStyle w:val="Heading2"/>
      </w:pPr>
      <w:r>
        <w:t xml:space="preserve">Safe-haven currencies</w:t>
      </w:r>
    </w:p>
    <w:p>
      <w:pPr>
        <w:pStyle w:val="ListParagraph"/>
        <w:numPr>
          <w:ilvl w:val="0"/>
          <w:numId w:val="2"/>
        </w:numPr>
        <w:spacing w:after="60" w:line="276"/>
      </w:pPr>
      <w:r>
        <w:rPr>
          <w:b/>
          <w:bCs/>
        </w:rPr>
        <w:t xml:space="preserve">Baur &amp; Lucey (2010) </w:t>
      </w:r>
      <w:r>
        <w:t xml:space="preserve">– “Is Gold a Hedge or a Safe Haven?” The methodology for testing safe-haven properties using DCC-GARCH + crisis dummies.</w:t>
      </w:r>
    </w:p>
    <w:p>
      <w:pPr>
        <w:pStyle w:val="ListParagraph"/>
        <w:numPr>
          <w:ilvl w:val="0"/>
          <w:numId w:val="2"/>
        </w:numPr>
        <w:spacing w:after="60" w:line="276"/>
      </w:pPr>
      <w:r>
        <w:rPr>
          <w:b/>
          <w:bCs/>
        </w:rPr>
        <w:t xml:space="preserve">Ranaldo &amp; Söderlind (2010) </w:t>
      </w:r>
      <w:r>
        <w:t xml:space="preserve">– “Safe Haven Currencies.” RFS. Shows CHF and JPY appreciate during high-VIX episodes.</w:t>
      </w:r>
    </w:p>
    <w:p>
      <w:pPr>
        <w:pStyle w:val="Heading2"/>
      </w:pPr>
      <w:r>
        <w:t xml:space="preserve">Geopolitical risk &amp; currency markets</w:t>
      </w:r>
    </w:p>
    <w:p>
      <w:pPr>
        <w:pStyle w:val="ListParagraph"/>
        <w:numPr>
          <w:ilvl w:val="0"/>
          <w:numId w:val="2"/>
        </w:numPr>
        <w:spacing w:after="60" w:line="276"/>
      </w:pPr>
      <w:r>
        <w:rPr>
          <w:b/>
          <w:bCs/>
        </w:rPr>
        <w:t xml:space="preserve">Liu &amp; Zhang (2024) </w:t>
      </w:r>
      <w:r>
        <w:t xml:space="preserve">– “Geopolitical Risk and Currency Returns.” JBF. GPR-sorted portfolios generate 5.72% annual excess returns.</w:t>
      </w:r>
    </w:p>
    <w:p>
      <w:pPr>
        <w:pStyle w:val="ListParagraph"/>
        <w:numPr>
          <w:ilvl w:val="0"/>
          <w:numId w:val="2"/>
        </w:numPr>
        <w:spacing w:after="60" w:line="276"/>
      </w:pPr>
      <w:r>
        <w:rPr>
          <w:b/>
          <w:bCs/>
        </w:rPr>
        <w:t xml:space="preserve">Caldara &amp; Iacoviello (2022) </w:t>
      </w:r>
      <w:r>
        <w:t xml:space="preserve">– “Measuring Geopolitical Risk.” AER. The GPR index construction.</w:t>
      </w:r>
    </w:p>
    <w:p>
      <w:pPr>
        <w:pStyle w:val="ListParagraph"/>
        <w:numPr>
          <w:ilvl w:val="0"/>
          <w:numId w:val="2"/>
        </w:numPr>
        <w:spacing w:after="60" w:line="276"/>
      </w:pPr>
      <w:r>
        <w:rPr>
          <w:b/>
          <w:bCs/>
        </w:rPr>
        <w:t xml:space="preserve">IMF GFSR Ch. 2 (Apr 2025) </w:t>
      </w:r>
      <w:r>
        <w:t xml:space="preserve">– “Geopolitical Risks: Implications for Asset Prices.” GPR shocks predict currency depreciation and equity declines.</w:t>
      </w:r>
    </w:p>
    <w:p>
      <w:pPr>
        <w:pStyle w:val="Heading2"/>
      </w:pPr>
      <w:r>
        <w:t xml:space="preserve">Tariff shocks &amp; exchange rates</w:t>
      </w:r>
    </w:p>
    <w:p>
      <w:pPr>
        <w:pStyle w:val="ListParagraph"/>
        <w:numPr>
          <w:ilvl w:val="0"/>
          <w:numId w:val="2"/>
        </w:numPr>
        <w:spacing w:after="60" w:line="276"/>
      </w:pPr>
      <w:r>
        <w:rPr>
          <w:b/>
          <w:bCs/>
        </w:rPr>
        <w:t xml:space="preserve">Corsetti, Lloyd &amp; Ostry (2025) </w:t>
      </w:r>
      <w:r>
        <w:t xml:space="preserve">– “Trading Blows.” BoE Staff WP 1139. USD depreciation is not anomalous once retaliation expectations are accounted for.</w:t>
      </w:r>
    </w:p>
    <w:p>
      <w:pPr>
        <w:pStyle w:val="ListParagraph"/>
        <w:numPr>
          <w:ilvl w:val="0"/>
          <w:numId w:val="2"/>
        </w:numPr>
        <w:spacing w:after="60" w:line="276"/>
      </w:pPr>
      <w:r>
        <w:rPr>
          <w:b/>
          <w:bCs/>
        </w:rPr>
        <w:t xml:space="preserve">ECB Financial Stability Review (Nov 2025) </w:t>
      </w:r>
      <w:r>
        <w:t xml:space="preserve">– Documents the breakdown of USD-Treasury yield correlation and the decline in U.S. Treasury convenience yield after Liberation Day.</w:t>
      </w:r>
    </w:p>
    <w:p>
      <w:pPr>
        <w:pStyle w:val="Heading2"/>
      </w:pPr>
      <w:r>
        <w:t xml:space="preserve">Commodity currencies &amp; oil</w:t>
      </w:r>
    </w:p>
    <w:p>
      <w:pPr>
        <w:pStyle w:val="ListParagraph"/>
        <w:numPr>
          <w:ilvl w:val="0"/>
          <w:numId w:val="2"/>
        </w:numPr>
        <w:spacing w:after="60" w:line="276"/>
      </w:pPr>
      <w:r>
        <w:rPr>
          <w:b/>
          <w:bCs/>
        </w:rPr>
        <w:t xml:space="preserve">Chen &amp; Rogoff (2003) </w:t>
      </w:r>
      <w:r>
        <w:t xml:space="preserve">– “Commodity Currencies.” Establishes the link between commodity prices and exchange rates of exporters.</w:t>
      </w:r>
    </w:p>
    <w:p>
      <w:pPr>
        <w:pStyle w:val="ListParagraph"/>
        <w:numPr>
          <w:ilvl w:val="0"/>
          <w:numId w:val="2"/>
        </w:numPr>
        <w:spacing w:after="60" w:line="276"/>
      </w:pPr>
      <w:r>
        <w:rPr>
          <w:b/>
          <w:bCs/>
        </w:rPr>
        <w:t xml:space="preserve">Kilian (2009) </w:t>
      </w:r>
      <w:r>
        <w:t xml:space="preserve">– “Not All Oil Price Shocks Are Alike.” AER. Decomposes oil shocks into supply, demand, and speculative components.</w:t>
      </w:r>
    </w:p>
    <w:p>
      <w:pPr>
        <w:pStyle w:val="Heading2"/>
      </w:pPr>
      <w:r>
        <w:t xml:space="preserve">DCC-GARCH methodology</w:t>
      </w:r>
    </w:p>
    <w:p>
      <w:pPr>
        <w:pStyle w:val="ListParagraph"/>
        <w:numPr>
          <w:ilvl w:val="0"/>
          <w:numId w:val="2"/>
        </w:numPr>
        <w:spacing w:after="60" w:line="276"/>
      </w:pPr>
      <w:r>
        <w:rPr>
          <w:b/>
          <w:bCs/>
        </w:rPr>
        <w:t xml:space="preserve">Engle (2002) </w:t>
      </w:r>
      <w:r>
        <w:t xml:space="preserve">– “Dynamic Conditional Correlation.” JBES. The foundational DCC model.</w:t>
      </w:r>
    </w:p>
    <w:p>
      <w:pPr>
        <w:pStyle w:val="ListParagraph"/>
        <w:numPr>
          <w:ilvl w:val="0"/>
          <w:numId w:val="2"/>
        </w:numPr>
        <w:spacing w:after="60" w:line="276"/>
      </w:pPr>
      <w:r>
        <w:rPr>
          <w:b/>
          <w:bCs/>
        </w:rPr>
        <w:t xml:space="preserve">Kumar, Mohan &amp; Niveditha (2025) </w:t>
      </w:r>
      <w:r>
        <w:t xml:space="preserve">– Rolling-window DCC-GARCH to assess Bitcoin/Gold as safe havens. Methodology template.</w:t>
      </w:r>
    </w:p>
    <w:p>
      <w:r>
        <w:br w:type="page"/>
      </w:r>
    </w:p>
    <w:p>
      <w:pPr>
        <w:pStyle w:val="Heading1"/>
      </w:pPr>
      <w:r>
        <w:t xml:space="preserve">7. Python Implementation Roadmap</w:t>
      </w:r>
    </w:p>
    <w:p>
      <w:pPr>
        <w:spacing w:after="120" w:line="276"/>
      </w:pPr>
      <w:r>
        <w:t xml:space="preserve">Since you’re comfortable with Python, here’s a concrete implementation plan with the key libraries:</w:t>
      </w:r>
    </w:p>
    <w:p>
      <w:pPr>
        <w:pStyle w:val="Heading2"/>
      </w:pPr>
      <w:r>
        <w:t xml:space="preserve">Core libraries</w:t>
      </w:r>
    </w:p>
    <w:p>
      <w:pPr>
        <w:shd w:fill="F5F5F5" w:val="clear"/>
        <w:spacing w:after="100" w:line="240"/>
        <w:ind w:left="360" w:right="360"/>
      </w:pPr>
      <w:r>
        <w:rPr>
          <w:rFonts w:ascii="Courier New" w:cs="Courier New" w:eastAsia="Courier New" w:hAnsi="Courier New"/>
          <w:sz w:val="18"/>
          <w:szCs w:val="18"/>
        </w:rPr>
        <w:t xml:space="preserve">pandas, numpy                 # Data handling</w:t>
      </w:r>
    </w:p>
    <w:p>
      <w:pPr>
        <w:shd w:fill="F5F5F5" w:val="clear"/>
        <w:spacing w:after="100" w:line="240"/>
        <w:ind w:left="360" w:right="360"/>
      </w:pPr>
      <w:r>
        <w:rPr>
          <w:rFonts w:ascii="Courier New" w:cs="Courier New" w:eastAsia="Courier New" w:hAnsi="Courier New"/>
          <w:sz w:val="18"/>
          <w:szCs w:val="18"/>
        </w:rPr>
        <w:t xml:space="preserve">yfinance                      # Free FX, commodity, VIX data</w:t>
      </w:r>
    </w:p>
    <w:p>
      <w:pPr>
        <w:shd w:fill="F5F5F5" w:val="clear"/>
        <w:spacing w:after="100" w:line="240"/>
        <w:ind w:left="360" w:right="360"/>
      </w:pPr>
      <w:r>
        <w:rPr>
          <w:rFonts w:ascii="Courier New" w:cs="Courier New" w:eastAsia="Courier New" w:hAnsi="Courier New"/>
          <w:sz w:val="18"/>
          <w:szCs w:val="18"/>
        </w:rPr>
        <w:t xml:space="preserve">statsmodels                   # VAR, OLS, event study regressions</w:t>
      </w:r>
    </w:p>
    <w:p>
      <w:pPr>
        <w:shd w:fill="F5F5F5" w:val="clear"/>
        <w:spacing w:after="100" w:line="240"/>
        <w:ind w:left="360" w:right="360"/>
      </w:pPr>
      <w:r>
        <w:rPr>
          <w:rFonts w:ascii="Courier New" w:cs="Courier New" w:eastAsia="Courier New" w:hAnsi="Courier New"/>
          <w:sz w:val="18"/>
          <w:szCs w:val="18"/>
        </w:rPr>
        <w:t xml:space="preserve">arch                          # GARCH &amp; DCC-GARCH estimation</w:t>
      </w:r>
    </w:p>
    <w:p>
      <w:pPr>
        <w:shd w:fill="F5F5F5" w:val="clear"/>
        <w:spacing w:after="100" w:line="240"/>
        <w:ind w:left="360" w:right="360"/>
      </w:pPr>
      <w:r>
        <w:rPr>
          <w:rFonts w:ascii="Courier New" w:cs="Courier New" w:eastAsia="Courier New" w:hAnsi="Courier New"/>
          <w:sz w:val="18"/>
          <w:szCs w:val="18"/>
        </w:rPr>
        <w:t xml:space="preserve">scipy.stats                   # Statistical tests</w:t>
      </w:r>
    </w:p>
    <w:p>
      <w:pPr>
        <w:shd w:fill="F5F5F5" w:val="clear"/>
        <w:spacing w:after="100" w:line="240"/>
        <w:ind w:left="360" w:right="360"/>
      </w:pPr>
      <w:r>
        <w:rPr>
          <w:rFonts w:ascii="Courier New" w:cs="Courier New" w:eastAsia="Courier New" w:hAnsi="Courier New"/>
          <w:sz w:val="18"/>
          <w:szCs w:val="18"/>
        </w:rPr>
        <w:t xml:space="preserve">matplotlib, seaborn           # Visualization</w:t>
      </w:r>
    </w:p>
    <w:p>
      <w:pPr>
        <w:shd w:fill="F5F5F5" w:val="clear"/>
        <w:spacing w:after="100" w:line="240"/>
        <w:ind w:left="360" w:right="360"/>
      </w:pPr>
      <w:r>
        <w:rPr>
          <w:rFonts w:ascii="Courier New" w:cs="Courier New" w:eastAsia="Courier New" w:hAnsi="Courier New"/>
          <w:sz w:val="18"/>
          <w:szCs w:val="18"/>
        </w:rPr>
        <w:t xml:space="preserve">linearmodels                  # Panel regressions (optional)</w:t>
      </w:r>
    </w:p>
    <w:p>
      <w:pPr>
        <w:pStyle w:val="Heading2"/>
      </w:pPr>
      <w:r>
        <w:t xml:space="preserve">Data pipeline</w:t>
      </w:r>
    </w:p>
    <w:p>
      <w:pPr>
        <w:pStyle w:val="ListParagraph"/>
        <w:numPr>
          <w:ilvl w:val="0"/>
          <w:numId w:val="3"/>
        </w:numPr>
        <w:spacing w:after="80" w:line="276"/>
      </w:pPr>
      <w:r>
        <w:t xml:space="preserve">Download daily FX rates for 30 currencies via yfinance (EURUSD=X, JPYUSD=X, etc.) or from Investing.com CSV exports.</w:t>
      </w:r>
    </w:p>
    <w:p>
      <w:pPr>
        <w:pStyle w:val="ListParagraph"/>
        <w:numPr>
          <w:ilvl w:val="0"/>
          <w:numId w:val="3"/>
        </w:numPr>
        <w:spacing w:after="80" w:line="276"/>
      </w:pPr>
      <w:r>
        <w:t xml:space="preserve">Download Brent oil (BZ=F), Gold (GC=F), VIX (^VIX), S&amp;P 500 (^GSPC) from yfinance.</w:t>
      </w:r>
    </w:p>
    <w:p>
      <w:pPr>
        <w:pStyle w:val="ListParagraph"/>
        <w:numPr>
          <w:ilvl w:val="0"/>
          <w:numId w:val="3"/>
        </w:numPr>
        <w:spacing w:after="80" w:line="276"/>
      </w:pPr>
      <w:r>
        <w:t xml:space="preserve">Download GPR index from Caldara &amp; Iacoviello website (CSV). Merge on date.</w:t>
      </w:r>
    </w:p>
    <w:p>
      <w:pPr>
        <w:pStyle w:val="ListParagraph"/>
        <w:numPr>
          <w:ilvl w:val="0"/>
          <w:numId w:val="3"/>
        </w:numPr>
        <w:spacing w:after="80" w:line="276"/>
      </w:pPr>
      <w:r>
        <w:t xml:space="preserve">Compute log returns: r(t) = ln(P(t)/P(t-1)) for all series.</w:t>
      </w:r>
    </w:p>
    <w:p>
      <w:pPr>
        <w:pStyle w:val="ListParagraph"/>
        <w:numPr>
          <w:ilvl w:val="0"/>
          <w:numId w:val="3"/>
        </w:numPr>
        <w:spacing w:after="80" w:line="276"/>
      </w:pPr>
      <w:r>
        <w:t xml:space="preserve">Classify currencies into safe/risky (using carry betas from course) and oil-exporter/oil-importer.</w:t>
      </w:r>
    </w:p>
    <w:p>
      <w:pPr>
        <w:pStyle w:val="Heading2"/>
      </w:pPr>
      <w:r>
        <w:t xml:space="preserve">Event study module</w:t>
      </w:r>
    </w:p>
    <w:p>
      <w:pPr>
        <w:pStyle w:val="ListParagraph"/>
        <w:numPr>
          <w:ilvl w:val="0"/>
          <w:numId w:val="3"/>
        </w:numPr>
        <w:spacing w:after="80" w:line="276"/>
      </w:pPr>
      <w:r>
        <w:t xml:space="preserve">Define event dates and windows (estimation: [-130, -11], event: [-10, +10]).</w:t>
      </w:r>
    </w:p>
    <w:p>
      <w:pPr>
        <w:pStyle w:val="ListParagraph"/>
        <w:numPr>
          <w:ilvl w:val="0"/>
          <w:numId w:val="3"/>
        </w:numPr>
        <w:spacing w:after="80" w:line="276"/>
      </w:pPr>
      <w:r>
        <w:t xml:space="preserve">For each currency, regress returns on the dollar factor in the estimation window to get α, β.</w:t>
      </w:r>
    </w:p>
    <w:p>
      <w:pPr>
        <w:pStyle w:val="ListParagraph"/>
        <w:numPr>
          <w:ilvl w:val="0"/>
          <w:numId w:val="3"/>
        </w:numPr>
        <w:spacing w:after="80" w:line="276"/>
      </w:pPr>
      <w:r>
        <w:t xml:space="preserve">Compute abnormal returns in the event window: AR(t) = R(t) – [α + β × DollarFactor(t)].</w:t>
      </w:r>
    </w:p>
    <w:p>
      <w:pPr>
        <w:pStyle w:val="ListParagraph"/>
        <w:numPr>
          <w:ilvl w:val="0"/>
          <w:numId w:val="3"/>
        </w:numPr>
        <w:spacing w:after="80" w:line="276"/>
      </w:pPr>
      <w:r>
        <w:t xml:space="preserve">Aggregate into portfolio CARs. Plot CAR paths for safe vs. risky, oil exporters vs. importers.</w:t>
      </w:r>
    </w:p>
    <w:p>
      <w:pPr>
        <w:pStyle w:val="ListParagraph"/>
        <w:numPr>
          <w:ilvl w:val="0"/>
          <w:numId w:val="3"/>
        </w:numPr>
        <w:spacing w:after="80" w:line="276"/>
      </w:pPr>
      <w:r>
        <w:t xml:space="preserve">Test significance: t-test on CARs, plus Kolari &amp; Pynnönen (2010) adjusted test for cross-sectional dependence.</w:t>
      </w:r>
    </w:p>
    <w:p>
      <w:pPr>
        <w:pStyle w:val="Heading2"/>
      </w:pPr>
      <w:r>
        <w:t xml:space="preserve">DCC-GARCH module</w:t>
      </w:r>
    </w:p>
    <w:p>
      <w:pPr>
        <w:pStyle w:val="ListParagraph"/>
        <w:numPr>
          <w:ilvl w:val="0"/>
          <w:numId w:val="3"/>
        </w:numPr>
        <w:spacing w:after="80" w:line="276"/>
      </w:pPr>
      <w:r>
        <w:t xml:space="preserve">Fit univariate GARCH(1,1) for each of the 6–8 series using the arch library.</w:t>
      </w:r>
    </w:p>
    <w:p>
      <w:pPr>
        <w:pStyle w:val="ListParagraph"/>
        <w:numPr>
          <w:ilvl w:val="0"/>
          <w:numId w:val="3"/>
        </w:numPr>
        <w:spacing w:after="80" w:line="276"/>
      </w:pPr>
      <w:r>
        <w:t xml:space="preserve">Extract standardized residuals.</w:t>
      </w:r>
    </w:p>
    <w:p>
      <w:pPr>
        <w:pStyle w:val="ListParagraph"/>
        <w:numPr>
          <w:ilvl w:val="0"/>
          <w:numId w:val="3"/>
        </w:numPr>
        <w:spacing w:after="80" w:line="276"/>
      </w:pPr>
      <w:r>
        <w:t xml:space="preserve">Estimate DCC parameters (α_DCC, β_DCC) on the residuals. Note: the arch library supports DCC estimation via the multivariate module, or you can implement the two-step procedure manually.</w:t>
      </w:r>
    </w:p>
    <w:p>
      <w:pPr>
        <w:pStyle w:val="ListParagraph"/>
        <w:numPr>
          <w:ilvl w:val="0"/>
          <w:numId w:val="3"/>
        </w:numPr>
        <w:spacing w:after="80" w:line="276"/>
      </w:pPr>
      <w:r>
        <w:t xml:space="preserve">Extract time-varying correlations ρ(i,j,t) for key pairs.</w:t>
      </w:r>
    </w:p>
    <w:p>
      <w:pPr>
        <w:pStyle w:val="ListParagraph"/>
        <w:numPr>
          <w:ilvl w:val="0"/>
          <w:numId w:val="3"/>
        </w:numPr>
        <w:spacing w:after="80" w:line="276"/>
      </w:pPr>
      <w:r>
        <w:t xml:space="preserve">Regress ρ(i,j,t) on crisis dummies (Baur &amp; Lucey 2010 safe-haven test).</w:t>
      </w:r>
    </w:p>
    <w:p>
      <w:pPr>
        <w:pStyle w:val="ListParagraph"/>
        <w:numPr>
          <w:ilvl w:val="0"/>
          <w:numId w:val="3"/>
        </w:numPr>
        <w:spacing w:after="80" w:line="276"/>
      </w:pPr>
      <w:r>
        <w:t xml:space="preserve">Plot: time-series of correlations with event dates shaded.</w:t>
      </w:r>
    </w:p>
    <w:p>
      <w:pPr>
        <w:pStyle w:val="Heading2"/>
      </w:pPr>
      <w:r>
        <w:t xml:space="preserve">VAR module</w:t>
      </w:r>
    </w:p>
    <w:p>
      <w:pPr>
        <w:pStyle w:val="ListParagraph"/>
        <w:numPr>
          <w:ilvl w:val="0"/>
          <w:numId w:val="3"/>
        </w:numPr>
        <w:spacing w:after="80" w:line="276"/>
      </w:pPr>
      <w:r>
        <w:t xml:space="preserve">Assemble the 7-variable daily dataset. Ensure stationarity (log returns for prices; GPR index may need differencing – check with ADF test).</w:t>
      </w:r>
    </w:p>
    <w:p>
      <w:pPr>
        <w:pStyle w:val="ListParagraph"/>
        <w:numPr>
          <w:ilvl w:val="0"/>
          <w:numId w:val="3"/>
        </w:numPr>
        <w:spacing w:after="80" w:line="276"/>
      </w:pPr>
      <w:r>
        <w:t xml:space="preserve">Select lag length using AIC/BIC (statsmodels VAR.select_order()).</w:t>
      </w:r>
    </w:p>
    <w:p>
      <w:pPr>
        <w:pStyle w:val="ListParagraph"/>
        <w:numPr>
          <w:ilvl w:val="0"/>
          <w:numId w:val="3"/>
        </w:numPr>
        <w:spacing w:after="80" w:line="276"/>
      </w:pPr>
      <w:r>
        <w:t xml:space="preserve">Estimate the VAR. Check stability (all eigenvalues inside unit circle).</w:t>
      </w:r>
    </w:p>
    <w:p>
      <w:pPr>
        <w:pStyle w:val="ListParagraph"/>
        <w:numPr>
          <w:ilvl w:val="0"/>
          <w:numId w:val="3"/>
        </w:numPr>
        <w:spacing w:after="80" w:line="276"/>
      </w:pPr>
      <w:r>
        <w:t xml:space="preserve">Compute orthogonalized IRFs with bootstrapped confidence bands.</w:t>
      </w:r>
    </w:p>
    <w:p>
      <w:pPr>
        <w:pStyle w:val="ListParagraph"/>
        <w:numPr>
          <w:ilvl w:val="0"/>
          <w:numId w:val="3"/>
        </w:numPr>
        <w:spacing w:after="80" w:line="276"/>
      </w:pPr>
      <w:r>
        <w:t xml:space="preserve">Compare IRFs across subsamples (tariff period vs. Iran period).</w:t>
      </w:r>
    </w:p>
    <w:p>
      <w:pPr>
        <w:pStyle w:val="ListParagraph"/>
        <w:numPr>
          <w:ilvl w:val="0"/>
          <w:numId w:val="3"/>
        </w:numPr>
        <w:spacing w:after="80" w:line="276"/>
      </w:pPr>
      <w:r>
        <w:t xml:space="preserve">Optional: forecast error variance decomposition (FEVD) to quantify how much of currency return variance is explained by GPR vs. oil vs. VIX shocks.</w:t>
      </w:r>
    </w:p>
    <w:p>
      <w:r>
        <w:br w:type="page"/>
      </w:r>
    </w:p>
    <w:p>
      <w:pPr>
        <w:pStyle w:val="Heading1"/>
      </w:pPr>
      <w:r>
        <w:t xml:space="preserve">8. Suggested Thesis Structure</w:t>
      </w:r>
    </w:p>
    <w:p>
      <w:pPr>
        <w:spacing w:after="120" w:line="276"/>
      </w:pPr>
      <w:r>
        <w:t xml:space="preserve">Target length: 40–50 pages (excl. appendix). Here’s a chapter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26"/>
        <w:gridCol w:w="1200"/>
        <w:gridCol w:w="4000"/>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Ch.</w:t>
            </w:r>
          </w:p>
        </w:tc>
        <w:tc>
          <w:tcPr>
            <w:tcW w:type="dxa" w:w="32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Pages</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Introduction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Motivation, research question, contribution, structure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Literature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Currency factors, safe havens, GPR, commodity currencies, CIP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Background: The Events of 2025–2026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Liberation Day, Iran escalation, Hormuz closure. Descriptive stats.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Data &amp; Methodology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Data sources, variable construction, event study, DCC-GARCH, VAR specification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Event Study Results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CARs by portfolio, cross-event comparison, statistical tests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Time-Varying Correlations (DCC-GARCH)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DCC estimates, safe-haven tests, correlation plots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Structural VAR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IRFs, FEVD, subsample comparison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Discussion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Safe-haven hierarchy, policy implications, limitations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9</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Conclusion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Summary of findings, future research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Appendix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Additional tables, robustness checks, Python code excerpts</w:t>
            </w:r>
          </w:p>
        </w:tc>
      </w:tr>
    </w:tbl>
    <w:p>
      <w:r>
        <w:br w:type="page"/>
      </w:r>
    </w:p>
    <w:p>
      <w:pPr>
        <w:pStyle w:val="Heading1"/>
      </w:pPr>
      <w:r>
        <w:t xml:space="preserve">9. Work Plan</w:t>
      </w:r>
    </w:p>
    <w:p>
      <w:pPr>
        <w:spacing w:after="120" w:line="276"/>
      </w:pPr>
      <w:r>
        <w:t xml:space="preserve">Estimated timeline assuming 3–4 months of dedicated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26"/>
        <w:gridCol w:w="1800"/>
        <w:gridCol w:w="1802"/>
      </w:tblGrid>
      <w:t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3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180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Data collection &amp; cleaning. Download all FX, commodity, VIX, GPR data. Build master dataset.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Clean CSV/DataFrame</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Currency classification. Replicate Project 2 safe/risky sorts. Add oil exporter/importer dimension.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Portfolio assignments</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5–6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Event study. Compute CARs for all portfolios across all events. Produce key figures.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Chapter 5 draft</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7–9</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DCC-GARCH. Estimate model, extract correlations, run safe-haven regressions.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Chapter 6 draft</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 (convergence)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10–11</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VAR. Estimate, compute IRFs and FEVD. Compare subsamples.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Chapter 7 draft</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Medium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12–14</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Writing. Literature review, intro, discussion, conclusion. Polish figures and tables.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Full draft</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15–16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Revision, robustness checks, formatting, submission.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Final thesis</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9"/>
                <w:szCs w:val="19"/>
              </w:rPr>
              <w:t xml:space="preserve">Low</w:t>
            </w:r>
          </w:p>
        </w:tc>
      </w:tr>
    </w:tbl>
    <w:p>
      <w:pPr>
        <w:pBdr>
          <w:bottom w:val="single" w:color="2B5C8A" w:sz="6" w:space="1"/>
        </w:pBdr>
        <w:spacing w:before="200" w:after="200"/>
      </w:pPr>
    </w:p>
    <w:p>
      <w:pPr>
        <w:pStyle w:val="Heading1"/>
      </w:pPr>
      <w:r>
        <w:t xml:space="preserve">10. Risk Mitigation</w:t>
      </w:r>
    </w:p>
    <w:p>
      <w:pPr>
        <w:spacing w:after="120" w:line="276"/>
      </w:pPr>
      <w:r>
        <w:t xml:space="preserve">Even if one layer encounters problems, the thesis remains strong:</w:t>
      </w:r>
    </w:p>
    <w:p>
      <w:pPr>
        <w:pStyle w:val="ListParagraph"/>
        <w:numPr>
          <w:ilvl w:val="0"/>
          <w:numId w:val="2"/>
        </w:numPr>
        <w:spacing w:after="60" w:line="276"/>
      </w:pPr>
      <w:r>
        <w:rPr>
          <w:b/>
          <w:bCs/>
        </w:rPr>
        <w:t xml:space="preserve">If DCC-GARCH has convergence issues: </w:t>
      </w:r>
      <w:r>
        <w:t xml:space="preserve">Fall back to rolling-window OLS correlations (60-day or 90-day window). This is simpler but produces essentially the same time-varying correlation plots. Many published papers use this approach.</w:t>
      </w:r>
    </w:p>
    <w:p>
      <w:pPr>
        <w:pStyle w:val="ListParagraph"/>
        <w:numPr>
          <w:ilvl w:val="0"/>
          <w:numId w:val="2"/>
        </w:numPr>
        <w:spacing w:after="60" w:line="276"/>
      </w:pPr>
      <w:r>
        <w:rPr>
          <w:b/>
          <w:bCs/>
        </w:rPr>
        <w:t xml:space="preserve">If the VAR results are noisy: </w:t>
      </w:r>
      <w:r>
        <w:t xml:space="preserve">The event study (Layer 1) alone is a solid bachelor thesis. The DCC-GARCH (Layer 2) adds methodological depth. The VAR (Layer 3) is a bonus that strengthens the paper but isn’t essential.</w:t>
      </w:r>
    </w:p>
    <w:p>
      <w:pPr>
        <w:pStyle w:val="ListParagraph"/>
        <w:numPr>
          <w:ilvl w:val="0"/>
          <w:numId w:val="2"/>
        </w:numPr>
        <w:spacing w:after="60" w:line="276"/>
      </w:pPr>
      <w:r>
        <w:rPr>
          <w:b/>
          <w:bCs/>
        </w:rPr>
        <w:t xml:space="preserve">If daily GPR data is too noisy: </w:t>
      </w:r>
      <w:r>
        <w:t xml:space="preserve">Use monthly GPR data and switch the VAR to monthly frequency. This loses some event-study precision but gains cleaner identification.</w:t>
      </w:r>
    </w:p>
    <w:p>
      <w:pPr>
        <w:pStyle w:val="ListParagraph"/>
        <w:numPr>
          <w:ilvl w:val="0"/>
          <w:numId w:val="2"/>
        </w:numPr>
        <w:spacing w:after="60" w:line="276"/>
      </w:pPr>
      <w:r>
        <w:rPr>
          <w:b/>
          <w:bCs/>
        </w:rPr>
        <w:t xml:space="preserve">If the Iran/Hormuz situation evolves rapidly: </w:t>
      </w:r>
      <w:r>
        <w:t xml:space="preserve">This is actually an advantage – you can extend the sample as events unfold. Set a hard data cutoff date (e.g., end of March 2026) and analyze what’s available.</w:t>
      </w:r>
    </w:p>
    <w:p>
      <w:pPr>
        <w:pBdr>
          <w:bottom w:val="single" w:color="2B5C8A" w:sz="6" w:space="1"/>
        </w:pBdr>
        <w:spacing w:before="200" w:after="200"/>
      </w:pPr>
    </w:p>
    <w:p>
      <w:pPr>
        <w:pStyle w:val="Heading1"/>
      </w:pPr>
      <w:r>
        <w:t xml:space="preserve">11. Next Steps</w:t>
      </w:r>
    </w:p>
    <w:p>
      <w:pPr>
        <w:pStyle w:val="ListParagraph"/>
        <w:numPr>
          <w:ilvl w:val="0"/>
          <w:numId w:val="3"/>
        </w:numPr>
        <w:spacing w:after="80" w:line="276"/>
      </w:pPr>
      <w:r>
        <w:t xml:space="preserve">Discuss this proposal with Prof. Dalgic. Bring this document and ask for feedback on scope and methodology.</w:t>
      </w:r>
    </w:p>
    <w:p>
      <w:pPr>
        <w:pStyle w:val="ListParagraph"/>
        <w:numPr>
          <w:ilvl w:val="0"/>
          <w:numId w:val="3"/>
        </w:numPr>
        <w:spacing w:after="80" w:line="276"/>
      </w:pPr>
      <w:r>
        <w:t xml:space="preserve">Start data collection immediately (Week 1 tasks are all free downloads).</w:t>
      </w:r>
    </w:p>
    <w:p>
      <w:pPr>
        <w:pStyle w:val="ListParagraph"/>
        <w:numPr>
          <w:ilvl w:val="0"/>
          <w:numId w:val="3"/>
        </w:numPr>
        <w:spacing w:after="80" w:line="276"/>
      </w:pPr>
      <w:r>
        <w:t xml:space="preserve">Read Corsetti, Lloyd &amp; Ostry (2025) and the ECB FSR (Nov 2025) box on safe havens – these are your most important references.</w:t>
      </w:r>
    </w:p>
    <w:p>
      <w:pPr>
        <w:pStyle w:val="ListParagraph"/>
        <w:numPr>
          <w:ilvl w:val="0"/>
          <w:numId w:val="3"/>
        </w:numPr>
        <w:spacing w:after="80" w:line="276"/>
      </w:pPr>
      <w:r>
        <w:t xml:space="preserve">Replicate one CAR plot from the Liberation Day event as a proof of concept. This will confirm your data pipeline works.</w:t>
      </w:r>
    </w:p>
    <w:p>
      <w:pPr>
        <w:pStyle w:val="ListParagraph"/>
        <w:numPr>
          <w:ilvl w:val="0"/>
          <w:numId w:val="3"/>
        </w:numPr>
        <w:spacing w:after="80" w:line="276"/>
      </w:pPr>
      <w:r>
        <w:t xml:space="preserve">Once the event study is working, implement DCC-GARCH on a small subset (e.g., USD, EUR, Oil, Gold) before scaling up.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Bachelor Thesis – Research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B5C8A"/>
      <w:sz w:val="25"/>
      <w:szCs w:val="25"/>
    </w:rPr>
  </w:style>
  <w:style w:type="paragraph" w:styleId="Heading3">
    <w:name w:val="Heading 3"/>
    <w:basedOn w:val="Normal"/>
    <w:next w:val="Normal"/>
    <w:qFormat/>
    <w:pPr>
      <w:spacing w:before="200" w:after="120"/>
      <w:outlineLvl w:val="2"/>
    </w:pPr>
    <w:rPr>
      <w:rFonts w:ascii="Arial" w:cs="Arial" w:eastAsia="Arial" w:hAnsi="Arial"/>
      <w:b/>
      <w:bCs/>
      <w:color w:val="3A7C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2026-03-17T16:29:22.875Z</dcterms:created>
  <dcterms:modified xsi:type="dcterms:W3CDTF">2026-03-17T16:29:22.875Z</dcterms:modified>
</cp:coreProperties>
</file>

<file path=docProps/custom.xml><?xml version="1.0" encoding="utf-8"?>
<Properties xmlns="http://schemas.openxmlformats.org/officeDocument/2006/custom-properties" xmlns:vt="http://schemas.openxmlformats.org/officeDocument/2006/docPropsVTypes"/>
</file>