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pacing w:val="30"/>
          <w:sz w:val="22"/>
          <w:szCs w:val="22"/>
        </w:rPr>
        <w:t xml:space="preserve">BACHELOR THESIS — RESEARCH PROPOSAL</w:t>
      </w:r>
    </w:p>
    <w:p>
      <w:pPr>
        <w:spacing w:after="40"/>
        <w:jc w:val="center"/>
      </w:pPr>
      <w:r>
        <w:rPr>
          <w:b/>
          <w:bCs/>
          <w:sz w:val="24"/>
          <w:szCs w:val="24"/>
        </w:rPr>
        <w:t xml:space="preserve">From Liberation Day to the Strait of Hormuz:</w:t>
      </w:r>
    </w:p>
    <w:p>
      <w:pPr>
        <w:spacing w:after="40"/>
        <w:jc w:val="center"/>
      </w:pPr>
      <w:r>
        <w:rPr>
          <w:b/>
          <w:bCs/>
          <w:sz w:val="22"/>
          <w:szCs w:val="22"/>
        </w:rPr>
        <w:t xml:space="preserve">Safe-Haven Currencies, Commodity Prices, and the Geopolitical Risk Premium, 2025–2026</w:t>
      </w:r>
    </w:p>
    <w:p>
      <w:pPr>
        <w:pBdr>
          <w:bottom w:val="single" w:color="1F3864" w:sz="8" w:space="4"/>
        </w:pBdr>
        <w:spacing w:after="160"/>
        <w:jc w:val="center"/>
      </w:pPr>
      <w:r>
        <w:rPr>
          <w:i/>
          <w:iCs/>
          <w:color w:val="595959"/>
          <w:sz w:val="17"/>
          <w:szCs w:val="17"/>
        </w:rPr>
        <w:t xml:space="preserve">Submitted to: Prof. Klaus Adam, Ph.D.  •  Advised by: Dr. Husnu C. Dalgic  •  University of Mannheim</w:t>
      </w:r>
    </w:p>
    <w:p>
      <w:pPr>
        <w:pBdr>
          <w:bottom w:val="single" w:color="1F3864" w:sz="6" w:space="2"/>
        </w:pBdr>
        <w:spacing w:after="50" w:before="100"/>
      </w:pPr>
      <w:r>
        <w:rPr>
          <w:b/>
          <w:bCs/>
          <w:color w:val="1F3864"/>
          <w:spacing w:val="20"/>
          <w:sz w:val="19"/>
          <w:szCs w:val="19"/>
        </w:rPr>
        <w:t xml:space="preserve">RESEARCH QUESTION</w:t>
      </w:r>
    </w:p>
    <w:p>
      <w:pPr>
        <w:spacing w:after="80"/>
      </w:pPr>
      <w:r>
        <w:rPr>
          <w:sz w:val="19"/>
          <w:szCs w:val="19"/>
        </w:rPr>
        <w:t xml:space="preserve">Do safe-haven currencies, commodity prices, and the broader cross-section of currency returns respond differently to U.S.-originated trade-policy shocks versus external geopolitical and commodity-supply shocks? The 2025–2026 period offers a near-experimental comparison of two large shocks within twelve months that produced mirror-image currency responses.</w:t>
      </w:r>
    </w:p>
    <w:p>
      <w:pPr>
        <w:spacing w:after="80"/>
      </w:pPr>
      <w:r>
        <w:rPr>
          <w:b/>
          <w:bCs/>
          <w:color w:val="1F3864"/>
          <w:sz w:val="19"/>
          <w:szCs w:val="19"/>
        </w:rPr>
        <w:t xml:space="preserve">Liberation Day (Apr 2, 2025).  </w:t>
      </w:r>
      <w:r>
        <w:rPr>
          <w:sz w:val="19"/>
          <w:szCs w:val="19"/>
        </w:rPr>
        <w:t xml:space="preserve">U.S. tariffs on virtually all trading partners. The dollar depreciated ~6% against the euro — breaking the standard safe-haven pattern — while gold rose, the VIX spiked, and Treasury yields initially fell, then surged.</w:t>
      </w:r>
    </w:p>
    <w:p>
      <w:pPr>
        <w:spacing w:after="80"/>
      </w:pPr>
      <w:r>
        <w:rPr>
          <w:b/>
          <w:bCs/>
          <w:color w:val="1F3864"/>
          <w:sz w:val="19"/>
          <w:szCs w:val="19"/>
        </w:rPr>
        <w:t xml:space="preserve">Israel–Iran escalation (Jun 2025 – Mar 2026).  </w:t>
      </w:r>
      <w:r>
        <w:rPr>
          <w:sz w:val="19"/>
          <w:szCs w:val="19"/>
        </w:rPr>
        <w:t xml:space="preserve">Strikes on Iranian nuclear facilities, followed by escalation in February 2026 and the closure of the Strait of Hormuz in March 2026. Brent moved from ~$70 to over $110/bbl. Asian oil-importer currencies (JPY, KRW, INR) weakened sharply while the dollar initially strengthened — the textbook flight-to-safety pattern.</w:t>
      </w:r>
    </w:p>
    <w:p>
      <w:pPr>
        <w:spacing w:after="80"/>
      </w:pPr>
      <w:r>
        <w:rPr>
          <w:sz w:val="19"/>
          <w:szCs w:val="19"/>
        </w:rPr>
        <w:t xml:space="preserve">The thesis tests whether the safe-haven hierarchy depends on the origin and type of the shock, and whether oil-importer status interacts with traditional carry-factor classification.</w:t>
      </w:r>
    </w:p>
    <w:p>
      <w:pPr>
        <w:pBdr>
          <w:bottom w:val="single" w:color="1F3864" w:sz="6" w:space="2"/>
        </w:pBdr>
        <w:spacing w:after="50" w:before="100"/>
      </w:pPr>
      <w:r>
        <w:rPr>
          <w:b/>
          <w:bCs/>
          <w:color w:val="1F3864"/>
          <w:spacing w:val="20"/>
          <w:sz w:val="19"/>
          <w:szCs w:val="19"/>
        </w:rPr>
        <w:t xml:space="preserve">CONTRIBUTION &amp; MOTIVATION</w:t>
      </w:r>
    </w:p>
    <w:p>
      <w:pPr>
        <w:pStyle w:val="ListParagraph"/>
        <w:numPr>
          <w:ilvl w:val="0"/>
          <w:numId w:val="2"/>
        </w:numPr>
        <w:spacing w:after="40"/>
      </w:pPr>
      <w:r>
        <w:rPr>
          <w:sz w:val="19"/>
          <w:szCs w:val="19"/>
        </w:rPr>
        <w:t xml:space="preserve">Timeliness. Both events are under active study by the ECB, IMF, and Fed. A 2026 thesis would be among the first systematic empirical comparisons.</w:t>
      </w:r>
    </w:p>
    <w:p>
      <w:pPr>
        <w:pStyle w:val="ListParagraph"/>
        <w:numPr>
          <w:ilvl w:val="0"/>
          <w:numId w:val="2"/>
        </w:numPr>
        <w:spacing w:after="40"/>
      </w:pPr>
      <w:r>
        <w:rPr>
          <w:sz w:val="19"/>
          <w:szCs w:val="19"/>
        </w:rPr>
        <w:t xml:space="preserve">Novelty. Existing work (Corsetti, Lloyd &amp; Ostry 2025; ECB FSR Nov 2025) focuses on the tariff shock alone. No study yet places Liberation Day and the Hormuz episode in the same framework.</w:t>
      </w:r>
    </w:p>
    <w:p>
      <w:pPr>
        <w:pStyle w:val="ListParagraph"/>
        <w:numPr>
          <w:ilvl w:val="0"/>
          <w:numId w:val="2"/>
        </w:numPr>
        <w:spacing w:after="40"/>
      </w:pPr>
      <w:r>
        <w:rPr>
          <w:sz w:val="19"/>
          <w:szCs w:val="19"/>
        </w:rPr>
        <w:t xml:space="preserve">Course extension. Builds directly on Project 2 (currency classification via the Lustig–Verdelhan factor structure) and Project 3 (Liberation Day analysis).</w:t>
      </w:r>
    </w:p>
    <w:p>
      <w:pPr>
        <w:pBdr>
          <w:bottom w:val="single" w:color="1F3864" w:sz="6" w:space="2"/>
        </w:pBdr>
        <w:spacing w:after="50" w:before="100"/>
      </w:pPr>
      <w:r>
        <w:rPr>
          <w:b/>
          <w:bCs/>
          <w:color w:val="1F3864"/>
          <w:spacing w:val="20"/>
          <w:sz w:val="19"/>
          <w:szCs w:val="19"/>
        </w:rPr>
        <w:t xml:space="preserve">RELATION TO EXISTING LITERATURE</w:t>
      </w:r>
    </w:p>
    <w:p>
      <w:pPr>
        <w:spacing w:after="80"/>
      </w:pPr>
      <w:r>
        <w:rPr>
          <w:sz w:val="19"/>
          <w:szCs w:val="19"/>
        </w:rPr>
        <w:t xml:space="preserve">Three papers stake out the closest territory. Rigobon &amp; Sack (2005) use a heteroskedasticity-based estimator around the 2003 Iraq War and find that war risk caused Treasury yields, equities, and the dollar to fall while oil rose — establishing that dollar weakness on geopolitical news has historical precedent. A recent CEPR Vox column (Jan 2026) argues that the dollar appreciates persistently only during episodes of severe global funding stress, not generic risk-off events, and interprets Liberation Day as a safe-haven shock without funding stress, making dollar weakness less surprising than it first appeared. Recent work on intra-safe-haven currency behaviour (J. Int. Fin. Markets Inst. Money, 2025) documents that the JPY weakened at the outbreak of the Ukraine war despite a VIX spike, confirming that intra-safe-haven dynamics are crisis-dependent.</w:t>
      </w:r>
    </w:p>
    <w:p>
      <w:pPr>
        <w:spacing w:after="80"/>
      </w:pPr>
      <w:r>
        <w:rPr>
          <w:sz w:val="19"/>
          <w:szCs w:val="19"/>
        </w:rPr>
        <w:t xml:space="preserve">This thesis builds on all three but adds a feature none of them has: a mirror-image comparison of two large shocks within a single 12-month window, holding measurement, sample, and currency cross-section fixed. The Iran/Hormuz episode also provides a natural test between the funding-stress and origin-of-shock interpretations: if FX swap basis and IBOR–OIS spreads remain calm during Hormuz while the dollar still appreciates, the funding-stress story cannot explain the move, leaving the origin-of-shock channel as the leading candidate.</w:t>
      </w:r>
    </w:p>
    <w:p>
      <w:pPr>
        <w:pBdr>
          <w:bottom w:val="single" w:color="1F3864" w:sz="6" w:space="2"/>
        </w:pBdr>
        <w:spacing w:after="50" w:before="100"/>
      </w:pPr>
      <w:r>
        <w:rPr>
          <w:b/>
          <w:bCs/>
          <w:color w:val="1F3864"/>
          <w:spacing w:val="20"/>
          <w:sz w:val="19"/>
          <w:szCs w:val="19"/>
        </w:rPr>
        <w:t xml:space="preserve">METHODOLOGY — DESCRIPTIVE BACKBONE + FORMAL EVENT STUDY</w:t>
      </w:r>
    </w:p>
    <w:p>
      <w:pPr>
        <w:spacing w:after="80"/>
      </w:pPr>
      <w:r>
        <w:rPr>
          <w:sz w:val="19"/>
          <w:szCs w:val="19"/>
        </w:rPr>
        <w:t xml:space="preserve">Two complementary strands: a Stepanski-style descriptive backbone that lets the data speak through clean figures, and a formal event study as the analytical core. Together they combine execution clarity with the statistical rigour expected at the bachelor level.</w:t>
      </w:r>
    </w:p>
    <w:p>
      <w:pPr>
        <w:spacing w:after="80"/>
      </w:pPr>
      <w:r>
        <w:rPr>
          <w:b/>
          <w:bCs/>
          <w:color w:val="1F3864"/>
          <w:sz w:val="19"/>
          <w:szCs w:val="19"/>
        </w:rPr>
        <w:t xml:space="preserve">Strand A — Descriptive figures.  </w:t>
      </w:r>
      <w:r>
        <w:rPr>
          <w:sz w:val="19"/>
          <w:szCs w:val="19"/>
        </w:rPr>
        <w:t xml:space="preserve">(i) Daily price and return charts in ±20-day windows around each shock for the dollar index, CHF, JPY, EUR, NOK, CAD, KRW, INR, gold, Brent, VIX, and 5-year Treasury yields. (ii) Cumulative return tables by currency group: safe vs risky (carry-trade beta from Project 2) and oil exporter vs importer (net oil trade). (iii) Mirror-image scatter — each currency’s Liberation Day return against its Iran/Hormuz return; the central thesis claim in one figure. (iv) 60-day rolling correlations (USD–VIX, gold–VIX, oil–importers, oil–exporters) across 2020–2026 with event windows shaded. (v) FX swap basis and IBOR–OIS spreads plotted alongside the dollar across both events to visually test the funding-stress alternative.</w:t>
      </w:r>
    </w:p>
    <w:p>
      <w:pPr>
        <w:spacing w:after="80"/>
      </w:pPr>
      <w:r>
        <w:rPr>
          <w:b/>
          <w:bCs/>
          <w:color w:val="1F3864"/>
          <w:sz w:val="19"/>
          <w:szCs w:val="19"/>
        </w:rPr>
        <w:t xml:space="preserve">Strand B — Formal event study.  </w:t>
      </w:r>
      <w:r>
        <w:rPr>
          <w:sz w:val="19"/>
          <w:szCs w:val="19"/>
        </w:rPr>
        <w:t xml:space="preserve">Standard market-model approach. Estimation window [–130, –11], event window [–10, +10] trading days. Abnormal returns from regressing each currency’s daily return on the Lustig–Verdelhan dollar factor over the estimation window. Portfolio CARs aggregated by the same two sorts as in Strand A. Cross-event differences tested with parametric t-tests and the Kolari–Pynnönen (2010) adjusted test, with explicit handling of the April 9 tariff-pause confound by reporting both ±5 and ±10 day windows.</w:t>
      </w:r>
    </w:p>
    <w:p>
      <w:pPr>
        <w:spacing w:after="80"/>
      </w:pPr>
      <w:r>
        <w:rPr>
          <w:i/>
          <w:iCs/>
          <w:color w:val="595959"/>
          <w:sz w:val="19"/>
          <w:szCs w:val="19"/>
        </w:rPr>
        <w:t xml:space="preserve">Optional robustness (appendix): an OLS regression of daily currency returns on event dummies, oil returns, VIX changes, and the dollar factor, run on a panel of all 30 currencies with country fixed effects.</w:t>
      </w:r>
    </w:p>
    <w:p>
      <w:r>
        <w:br w:type="page"/>
      </w:r>
    </w:p>
    <w:p>
      <w:pPr>
        <w:pBdr>
          <w:bottom w:val="single" w:color="1F3864" w:sz="6" w:space="2"/>
        </w:pBdr>
        <w:spacing w:after="50" w:before="100"/>
      </w:pPr>
      <w:r>
        <w:rPr>
          <w:b/>
          <w:bCs/>
          <w:color w:val="1F3864"/>
          <w:spacing w:val="20"/>
          <w:sz w:val="19"/>
          <w:szCs w:val="19"/>
        </w:rPr>
        <w:t xml:space="preserve">DATA SOURCES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4540"/>
        <w:gridCol w:w="1100"/>
        <w:gridCol w:w="90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Variable</w:t>
            </w:r>
          </w:p>
        </w:tc>
        <w:tc>
          <w:tcPr>
            <w:tcW w:type="dxa" w:w="45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Source</w:t>
            </w:r>
          </w:p>
        </w:tc>
        <w:tc>
          <w:tcPr>
            <w:tcW w:type="dxa" w:w="1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Frequency</w:t>
            </w:r>
          </w:p>
        </w:tc>
        <w:tc>
          <w:tcPr>
            <w:tcW w:type="dxa" w:w="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Cost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Spot FX (30 currencies vs USD)</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Course dataset + Yahoo Finance / Investing.com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Brent crude (front-month)</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FRED (DCOILBRENTEU) / Yahoo (BZ=F)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Gold (USD/oz)</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FRED (GOLDAMGBD228NLBM) / Yahoo (GC=F)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VIX</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Yahoo Finance (^VIX) / CBOE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GPR index (global + country)</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matteoiacoviello.com/gpr.htm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Daily/Mo.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U.S. EPU / TPU</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policyuncertainty.com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Daily/Mo.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Dollar &amp; Carry factors</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Course dataset / Lustig et al. website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Monthly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Broad trade-weighted USD</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FRED (DTWEXBGS)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Daily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Net oil trade position</w:t>
            </w:r>
          </w:p>
        </w:tc>
        <w:tc>
          <w:tcPr>
            <w:tcW w:type="dxa" w:w="4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IEA / EIA / World Bank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Annual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Free</w:t>
            </w:r>
          </w:p>
        </w:tc>
      </w:tr>
    </w:tbl>
    <w:p>
      <w:pPr>
        <w:pBdr>
          <w:bottom w:val="single" w:color="1F3864" w:sz="6" w:space="2"/>
        </w:pBdr>
        <w:spacing w:after="50" w:before="100"/>
      </w:pPr>
      <w:r>
        <w:rPr>
          <w:b/>
          <w:bCs/>
          <w:color w:val="1F3864"/>
          <w:spacing w:val="20"/>
          <w:sz w:val="19"/>
          <w:szCs w:val="19"/>
        </w:rPr>
        <w:t xml:space="preserve">EVENT TIMELINE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500"/>
        <w:gridCol w:w="4640"/>
        <w:gridCol w:w="2200"/>
        <w:gridCol w:w="14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Date</w:t>
            </w:r>
          </w:p>
        </w:tc>
        <w:tc>
          <w:tcPr>
            <w:tcW w:type="dxa" w:w="46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Event</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Type</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Oil</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Apr 2, 2025</w:t>
            </w:r>
          </w:p>
        </w:tc>
        <w:tc>
          <w:tcPr>
            <w:tcW w:type="dxa" w:w="4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Liberation Day — sweeping U.S. tariffs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U.S. trade policy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Falls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Apr 3–7, 2025</w:t>
            </w:r>
          </w:p>
        </w:tc>
        <w:tc>
          <w:tcPr>
            <w:tcW w:type="dxa" w:w="4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S&amp;P −11%, USD −6% vs EUR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Market stress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WTI ~$60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Jun 13, 2025</w:t>
            </w:r>
          </w:p>
        </w:tc>
        <w:tc>
          <w:tcPr>
            <w:tcW w:type="dxa" w:w="4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Israel/U.S. strike Iran nuclear facilities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Geopolitical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$65 → $80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Jun 21–23, 2025</w:t>
            </w:r>
          </w:p>
        </w:tc>
        <w:tc>
          <w:tcPr>
            <w:tcW w:type="dxa" w:w="4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U.S. strikes; Iranian response; ceasefire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Geopolitical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Reverts ~$68</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Feb 2026</w:t>
            </w:r>
          </w:p>
        </w:tc>
        <w:tc>
          <w:tcPr>
            <w:tcW w:type="dxa" w:w="4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Renewed military operations against Iran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Major escalation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$70 → $110+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Mar 4, 2026</w:t>
            </w:r>
          </w:p>
        </w:tc>
        <w:tc>
          <w:tcPr>
            <w:tcW w:type="dxa" w:w="4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Iran closes Strait of Hormuz; shipping attacks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Supply shock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$110+ sustained</w:t>
            </w:r>
          </w:p>
        </w:tc>
      </w:tr>
    </w:tbl>
    <w:p>
      <w:pPr>
        <w:pBdr>
          <w:bottom w:val="single" w:color="1F3864" w:sz="6" w:space="2"/>
        </w:pBdr>
        <w:spacing w:after="50" w:before="100"/>
      </w:pPr>
      <w:r>
        <w:rPr>
          <w:b/>
          <w:bCs/>
          <w:color w:val="1F3864"/>
          <w:spacing w:val="20"/>
          <w:sz w:val="19"/>
          <w:szCs w:val="19"/>
        </w:rPr>
        <w:t xml:space="preserve">THESIS STRUCTURE (MIRRORS STEPANSKI 2026; TARGET ~30 PAGES)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700"/>
        <w:gridCol w:w="524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Ch.</w:t>
            </w:r>
          </w:p>
        </w:tc>
        <w:tc>
          <w:tcPr>
            <w:tcW w:type="dxa" w:w="3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Title</w:t>
            </w:r>
          </w:p>
        </w:tc>
        <w:tc>
          <w:tcPr>
            <w:tcW w:type="dxa" w:w="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Pages</w:t>
            </w:r>
          </w:p>
        </w:tc>
        <w:tc>
          <w:tcPr>
            <w:tcW w:type="dxa" w:w="52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17"/>
                <w:szCs w:val="17"/>
              </w:rPr>
              <w:t xml:space="preserve">Content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Introduction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3–4</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Motivation, RQ, contribution, structure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Conceptual Framework &amp; Data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4–5</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Factor structure, currency classification, data construction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Literature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5–7</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Currency factors, safe havens, GPR, commodity currencies, funding-stress vs origin-of-shock</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Empirical Results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8–10</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Descriptive figures + formal event study CARs and tests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Discussion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3–4</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Interpretation against rival literatures; limitations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Outlook</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2–3</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Future research, policy implications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Conclusion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1–2</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Summary</w:t>
            </w:r>
          </w:p>
        </w:tc>
      </w:tr>
    </w:tbl>
    <w:p>
      <w:pPr>
        <w:pBdr>
          <w:bottom w:val="single" w:color="1F3864" w:sz="6" w:space="2"/>
        </w:pBdr>
        <w:spacing w:after="50" w:before="100"/>
      </w:pPr>
      <w:r>
        <w:rPr>
          <w:b/>
          <w:bCs/>
          <w:color w:val="1F3864"/>
          <w:spacing w:val="20"/>
          <w:sz w:val="19"/>
          <w:szCs w:val="19"/>
        </w:rPr>
        <w:t xml:space="preserve">WORK PLAN</w:t>
      </w:r>
    </w:p>
    <w:p>
      <w:pPr>
        <w:pStyle w:val="ListParagraph"/>
        <w:numPr>
          <w:ilvl w:val="0"/>
          <w:numId w:val="2"/>
        </w:numPr>
        <w:spacing w:after="40"/>
      </w:pPr>
      <w:r>
        <w:rPr>
          <w:sz w:val="19"/>
          <w:szCs w:val="19"/>
        </w:rPr>
        <w:t xml:space="preserve">Weeks 1–2. Data collection, cleaning, currency classification (carry betas; oil exporter/importer).</w:t>
      </w:r>
    </w:p>
    <w:p>
      <w:pPr>
        <w:pStyle w:val="ListParagraph"/>
        <w:numPr>
          <w:ilvl w:val="0"/>
          <w:numId w:val="2"/>
        </w:numPr>
        <w:spacing w:after="40"/>
      </w:pPr>
      <w:r>
        <w:rPr>
          <w:sz w:val="19"/>
          <w:szCs w:val="19"/>
        </w:rPr>
        <w:t xml:space="preserve">Weeks 3–5. Construction of descriptive figures: event-window charts, cumulative returns, mirror-image scatter, rolling correlations.</w:t>
      </w:r>
    </w:p>
    <w:p>
      <w:pPr>
        <w:pStyle w:val="ListParagraph"/>
        <w:numPr>
          <w:ilvl w:val="0"/>
          <w:numId w:val="2"/>
        </w:numPr>
        <w:spacing w:after="40"/>
      </w:pPr>
      <w:r>
        <w:rPr>
          <w:sz w:val="19"/>
          <w:szCs w:val="19"/>
        </w:rPr>
        <w:t xml:space="preserve">Weeks 6–7. Formal event study: market-model estimation, CARs, t-tests; funding-stress visual — Chapter 4 draft.</w:t>
      </w:r>
    </w:p>
    <w:p>
      <w:pPr>
        <w:pStyle w:val="ListParagraph"/>
        <w:numPr>
          <w:ilvl w:val="0"/>
          <w:numId w:val="2"/>
        </w:numPr>
        <w:spacing w:after="40"/>
      </w:pPr>
      <w:r>
        <w:rPr>
          <w:sz w:val="19"/>
          <w:szCs w:val="19"/>
        </w:rPr>
        <w:t xml:space="preserve">Weeks 8–12. Writing: literature, intro, discussion, outlook, conclusion.</w:t>
      </w:r>
    </w:p>
    <w:p>
      <w:pPr>
        <w:pStyle w:val="ListParagraph"/>
        <w:numPr>
          <w:ilvl w:val="0"/>
          <w:numId w:val="2"/>
        </w:numPr>
        <w:spacing w:after="40"/>
      </w:pPr>
      <w:r>
        <w:rPr>
          <w:sz w:val="19"/>
          <w:szCs w:val="19"/>
        </w:rPr>
        <w:t xml:space="preserve">Weeks 13–16. Revision, robustness (incl. optional OLS appendix), formatting, submission.</w:t>
      </w:r>
    </w:p>
    <w:p>
      <w:pPr>
        <w:pBdr>
          <w:bottom w:val="single" w:color="1F3864" w:sz="6" w:space="2"/>
        </w:pBdr>
        <w:spacing w:after="50" w:before="100"/>
      </w:pPr>
      <w:r>
        <w:rPr>
          <w:b/>
          <w:bCs/>
          <w:color w:val="1F3864"/>
          <w:spacing w:val="20"/>
          <w:sz w:val="19"/>
          <w:szCs w:val="19"/>
        </w:rPr>
        <w:t xml:space="preserve">CURRENT STATUS &amp; OPEN QUESTIONS</w:t>
      </w:r>
    </w:p>
    <w:p>
      <w:pPr>
        <w:pStyle w:val="ListParagraph"/>
        <w:numPr>
          <w:ilvl w:val="0"/>
          <w:numId w:val="2"/>
        </w:numPr>
        <w:spacing w:after="40"/>
      </w:pPr>
      <w:r>
        <w:rPr>
          <w:sz w:val="19"/>
          <w:szCs w:val="19"/>
        </w:rPr>
        <w:t xml:space="preserve">Currently exploring the daily FX, commodity, VIX, and GPR series listed above; have begun replicating the Project 2 currency classification on the extended sample.</w:t>
      </w:r>
    </w:p>
    <w:p>
      <w:pPr>
        <w:pStyle w:val="ListParagraph"/>
        <w:numPr>
          <w:ilvl w:val="0"/>
          <w:numId w:val="2"/>
        </w:numPr>
        <w:spacing w:after="40"/>
      </w:pPr>
      <w:r>
        <w:rPr>
          <w:sz w:val="19"/>
          <w:szCs w:val="19"/>
        </w:rPr>
        <w:t xml:space="preserve">Open question: are there additional or higher-quality data sources you would recommend? Specifically (i) cleaner FX or CIP-basis data, (ii) any internal datasets on EM currencies, (iii) a daily Trade Policy Uncertainty series for 2025–2026.</w:t>
      </w:r>
    </w:p>
    <w:p>
      <w:pPr>
        <w:pBdr>
          <w:bottom w:val="single" w:color="1F3864" w:sz="6" w:space="2"/>
        </w:pBdr>
        <w:spacing w:after="50" w:before="100"/>
      </w:pPr>
      <w:r>
        <w:rPr>
          <w:b/>
          <w:bCs/>
          <w:color w:val="1F3864"/>
          <w:spacing w:val="20"/>
          <w:sz w:val="19"/>
          <w:szCs w:val="19"/>
        </w:rPr>
        <w:t xml:space="preserve">KEY REFERENCES</w:t>
      </w:r>
    </w:p>
    <w:p>
      <w:pPr>
        <w:spacing w:after="80"/>
      </w:pPr>
      <w:r>
        <w:rPr>
          <w:i/>
          <w:iCs/>
          <w:color w:val="595959"/>
          <w:sz w:val="17"/>
          <w:szCs w:val="17"/>
        </w:rPr>
        <w:t xml:space="preserve">Lustig, Roussanov &amp; Verdelhan (2011) · Dalgic &amp; Ozhan (2024) · Baur &amp; Lucey (2010) · Ranaldo &amp; Söderlind (2010) · Rigobon &amp; Sack (2005) · Kolari &amp; Pynnönen (2010) · Caldara &amp; Iacoviello (2022) · Liu &amp; Zhang (2024) · Corsetti, Lloyd &amp; Ostry (2025) · Chen &amp; Rogoff (2003) · Kilian (2009) · ECB FSR Nov 2025 · CEPR Vox Jan 2026.</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2026-04-08T09:46:20.812Z</dcterms:created>
  <dcterms:modified xsi:type="dcterms:W3CDTF">2026-04-08T09:46:20.813Z</dcterms:modified>
</cp:coreProperties>
</file>

<file path=docProps/custom.xml><?xml version="1.0" encoding="utf-8"?>
<Properties xmlns="http://schemas.openxmlformats.org/officeDocument/2006/custom-properties" xmlns:vt="http://schemas.openxmlformats.org/officeDocument/2006/docPropsVTypes"/>
</file>