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30"/>
          <w:sz w:val="22"/>
          <w:szCs w:val="22"/>
        </w:rPr>
        <w:t xml:space="preserve">BACHELOR THESIS — RESEARCH PROPOSAL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From Liberation Day to the Strait of Hormuz: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Safe-Haven Currencies, Commodity Prices, and the Geopolitical Risk Premium, 2025–2026</w:t>
      </w:r>
    </w:p>
    <w:p>
      <w:pPr>
        <w:pBdr>
          <w:bottom w:val="single" w:color="1F3864" w:sz="8" w:space="4"/>
        </w:pBd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Submitted to: Prof. Klaus Adam, Ph.D.  •  Advised by: Dr. Husnu C. Dalgic  •  University of Mannheim</w:t>
      </w:r>
    </w:p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RESEARCH QUESTION</w:t>
      </w:r>
    </w:p>
    <w:p>
      <w:pPr>
        <w:spacing w:after="80"/>
      </w:pPr>
      <w:r>
        <w:rPr>
          <w:sz w:val="19"/>
          <w:szCs w:val="19"/>
        </w:rPr>
        <w:t xml:space="preserve">Do safe-haven currencies, commodity prices, and the broader cross-section of currency returns respond differently to U.S.-originated trade-policy shocks versus external geopolitical and commodity-supply shocks? The 2025–2026 period offers a near-experimental comparison of two large shocks within twelve months that produced mirror-image currency responses.</w:t>
      </w:r>
    </w:p>
    <w:p>
      <w:pPr>
        <w:spacing w:after="80"/>
      </w:pPr>
      <w:r>
        <w:rPr>
          <w:b/>
          <w:bCs/>
          <w:color w:val="1F3864"/>
          <w:sz w:val="19"/>
          <w:szCs w:val="19"/>
        </w:rPr>
        <w:t xml:space="preserve">Liberation Day (Apr 2, 2025).  </w:t>
      </w:r>
      <w:r>
        <w:rPr>
          <w:sz w:val="19"/>
          <w:szCs w:val="19"/>
        </w:rPr>
        <w:t xml:space="preserve">U.S. tariffs on virtually all trading partners. The dollar depreciated ~6% against the euro — breaking the standard safe-haven pattern — while gold rose, the VIX spiked, and Treasury yields initially fell, then surged.</w:t>
      </w:r>
    </w:p>
    <w:p>
      <w:pPr>
        <w:spacing w:after="80"/>
      </w:pPr>
      <w:r>
        <w:rPr>
          <w:b/>
          <w:bCs/>
          <w:color w:val="1F3864"/>
          <w:sz w:val="19"/>
          <w:szCs w:val="19"/>
        </w:rPr>
        <w:t xml:space="preserve">Israel–Iran escalation (Jun 2025 – Mar 2026).  </w:t>
      </w:r>
      <w:r>
        <w:rPr>
          <w:sz w:val="19"/>
          <w:szCs w:val="19"/>
        </w:rPr>
        <w:t xml:space="preserve">Strikes on Iranian nuclear facilities, followed by escalation in February 2026 and the closure of the Strait of Hormuz in March 2026. Brent moved from ~$70 to over $110/bbl. Asian oil-importer currencies (JPY, KRW, INR) weakened sharply while the dollar initially strengthened — the textbook flight-to-safety pattern.</w:t>
      </w:r>
    </w:p>
    <w:p>
      <w:pPr>
        <w:spacing w:after="80"/>
      </w:pPr>
      <w:r>
        <w:rPr>
          <w:sz w:val="19"/>
          <w:szCs w:val="19"/>
        </w:rPr>
        <w:t xml:space="preserve">The thesis tests whether the safe-haven hierarchy depends on the origin and type of the shock, and whether oil-importer status interacts with traditional carry-factor classification.</w:t>
      </w:r>
    </w:p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CONTRIBUTION &amp; MOTIVATION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Timeliness. Both events are under active study by the ECB, IMF, and Fed. A 2026 thesis would be among the first systematic empirical comparisons.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Novelty. Existing work (Corsetti, Lloyd &amp; Ostry 2025; ECB FSR Nov 2025) focuses on the tariff shock alone. No study yet places Liberation Day and the Hormuz episode in the same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Course extension. Builds directly on Project 2 (currency classification via the Lustig–Verdelhan factor structure) and Project 3 (Liberation Day analysis).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Bridging literatures. Connects currency-factor research (Lustig et al. 2011; Dalgic &amp; Ozhan 2024) with commodity-currency (Chen &amp; Rogoff 2003) and geopolitical-risk pricing (Caldara &amp; Iacoviello 2022; Liu &amp; Zhang 2024).</w:t>
      </w:r>
    </w:p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METHODOLOGY — TIERED BY PRIORITY</w:t>
      </w:r>
    </w:p>
    <w:p>
      <w:pPr>
        <w:spacing w:after="80"/>
      </w:pPr>
      <w:r>
        <w:rPr>
          <w:b/>
          <w:bCs/>
          <w:color w:val="1F3864"/>
          <w:sz w:val="19"/>
          <w:szCs w:val="19"/>
        </w:rPr>
        <w:t xml:space="preserve">Core (Layer 1) — Event Study.  </w:t>
      </w:r>
      <w:r>
        <w:rPr>
          <w:sz w:val="19"/>
          <w:szCs w:val="19"/>
        </w:rPr>
        <w:t xml:space="preserve">Estimation window of 120 trading days, event window of ±10 days around each shock. Abnormal returns from a market model on the dollar factor. Currencies sorted along two dimensions: (i) safe vs. risky from carry-trade beta (per Project 2), (ii) oil exporters vs. importers from net oil trade position. Test cross-event differences in portfolio CARs with parametric and rank tests, with explicit handling of the April 9 tariff-pause confound.</w:t>
      </w:r>
    </w:p>
    <w:p>
      <w:pPr>
        <w:spacing w:after="80"/>
      </w:pPr>
      <w:r>
        <w:rPr>
          <w:b/>
          <w:bCs/>
          <w:color w:val="1F3864"/>
          <w:sz w:val="19"/>
          <w:szCs w:val="19"/>
        </w:rPr>
        <w:t xml:space="preserve">Extension (Layer 2) — DCC-GARCH.  </w:t>
      </w:r>
      <w:r>
        <w:rPr>
          <w:sz w:val="19"/>
          <w:szCs w:val="19"/>
        </w:rPr>
        <w:t xml:space="preserve">Time-varying correlations between USD, safe-haven FX, gold, oil, VIX, and an EM basket (Engle 2002). Baur–Lucey (2010) safe-haven test: regress ρ(i,j,t) on crisis dummies to formally test whether ρ(USD, VIX) flips sign around Liberation Day. Fallback if convergence fails: 60-day rolling-window correlations — a common substitute in published work.</w:t>
      </w:r>
    </w:p>
    <w:p>
      <w:pPr>
        <w:spacing w:after="80"/>
      </w:pPr>
      <w:r>
        <w:rPr>
          <w:b/>
          <w:bCs/>
          <w:color w:val="1F3864"/>
          <w:sz w:val="19"/>
          <w:szCs w:val="19"/>
        </w:rPr>
        <w:t xml:space="preserve">Bonus (Layer 3) — Structural VAR.  </w:t>
      </w:r>
      <w:r>
        <w:rPr>
          <w:sz w:val="19"/>
          <w:szCs w:val="19"/>
        </w:rPr>
        <w:t xml:space="preserve">Cholesky-identified VAR on GPR, Brent, VIX, EPU, safe and risky currency baskets, and DXY. IRFs and FEVD over the 2020–2026 daily sample. Note: subsample comparison (tariff vs. Iran period) likely runs into degrees-of-freedom limits and will be replaced by interaction-term specifications if needed.</w:t>
      </w:r>
    </w:p>
    <w:p>
      <w:pPr>
        <w:spacing w:after="80"/>
      </w:pPr>
      <w:r>
        <w:rPr>
          <w:i/>
          <w:iCs/>
          <w:color w:val="595959"/>
          <w:sz w:val="19"/>
          <w:szCs w:val="19"/>
        </w:rPr>
        <w:t xml:space="preserve">This tiered structure ensures that a clean Layer 1 alone constitutes a complete bachelor thesis. Layers 2 and 3 add depth conditional on time and data quality.</w:t>
      </w:r>
    </w:p>
    <w:p>
      <w:r>
        <w:br w:type="page"/>
      </w:r>
    </w:p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DATA SOURCES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40"/>
        <w:gridCol w:w="1100"/>
        <w:gridCol w:w="9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Variable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Frequency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Spot FX (30 currencies vs USD)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Course dataset + Yahoo Finance / Investing.com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Brent crude (front-month)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FRED (DCOILBRENTEU) / Yahoo (BZ=F)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Gold (USD/oz)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FRED (GOLDAMGBD228NLBM) / Yahoo (GC=F)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VIX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Yahoo Finance (^VIX) / CBOE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GPR index (global + country)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matteoiacoviello.com/gpr.htm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Daily/Mo.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U.S. EPU / TPU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policyuncertainty.com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Daily/Mo.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Dollar &amp; Carry factors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Course dataset / Lustig et al. website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Broad trade-weighted USD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FRED (DTWEXBGS)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oil trade position</w:t>
            </w:r>
          </w:p>
        </w:tc>
        <w:tc>
          <w:tcPr>
            <w:tcW w:type="dxa" w:w="4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IEA / EIA / World Bank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Annual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80" w:before="60"/>
      </w:pPr>
      <w:r>
        <w:rPr>
          <w:i/>
          <w:iCs/>
          <w:color w:val="595959"/>
          <w:sz w:val="16"/>
          <w:szCs w:val="16"/>
        </w:rPr>
        <w:t xml:space="preserve">All data freely available; Bloomberg not required.</w:t>
      </w:r>
    </w:p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EVENT TIMELINE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40"/>
        <w:gridCol w:w="22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Oil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 2, 2025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Liberation Day — sweeping U.S. tariffs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U.S. trade policy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Falls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Apr 3–7, 2025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S&amp;P −11%, USD −6% vs EUR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 stress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WTI ~$60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 13, 2025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Israel/U.S. strike Iran nuclear facilities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Geopolitical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$65 → $80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Jun 21–23, 2025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U.S. strikes; Iranian response; ceasefire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Geopolitical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Reverts ~$68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Feb 2026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Renewed military operations against Iran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Major escalation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$70 → $110+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 4, 2026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Iran closes Strait of Hormuz; shipping attacks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Supply shock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$110+ sustained</w:t>
            </w:r>
          </w:p>
        </w:tc>
      </w:tr>
    </w:tbl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THESIS STRUCTURE (TARGET ~35–45 PAGES)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700"/>
        <w:gridCol w:w="524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Pages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3–4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Motivation, RQ, contribution, structure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Conceptual Framework &amp; Data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4–5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Factor structure, event-study setup, data construction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Literature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5–7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Currency factors, safe havens, GPR, commodity currencies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Background: 2025–2026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3–4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Liberation Day, Iran escalation, descriptive stats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Empirical Results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8–10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Event study CARs; cross-event comparison; (DCC-GARCH if included)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Discussion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3–4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Safe-haven hierarchy, policy implications, limitations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Outlook &amp; Conclusion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2–3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Future research, summary</w:t>
            </w:r>
          </w:p>
        </w:tc>
      </w:tr>
    </w:tbl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WORK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Weeks 1–4. Data collection, cleaning, and currency classification (carry betas; oil exporter/importer).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Weeks 5–7. Event study estimation, portfolio CARs, statistical tests — Chapter 5 draft.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Weeks 8–10. (Optional) DCC-GARCH or rolling correlations; Baur–Lucey safe-haven regressions.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Weeks 11–16. Writing, revision, robustness, formatting, submission.</w:t>
      </w:r>
    </w:p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CURRENT STATUS &amp; OPEN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 am currently exploring the daily FX, commodity, VIX, and GPR series listed above and have begun replicating the Project 2 currency classification on the extended sample.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Open question for the meeting: are there additional or higher-quality data sources you would recommend? In particular, I would value input on (i) higher-frequency or cleaner FX data than what is publicly available, (ii) any internal datasets on EM currencies or CIP basis, and (iii) the best source for a daily Trade Policy Uncertainty series covering 2025–2026.</w:t>
      </w:r>
    </w:p>
    <w:p>
      <w:pPr>
        <w:pBdr>
          <w:bottom w:val="single" w:color="1F3864" w:sz="6" w:space="2"/>
        </w:pBdr>
        <w:spacing w:after="50" w:before="100"/>
      </w:pPr>
      <w:r>
        <w:rPr>
          <w:b/>
          <w:bCs/>
          <w:color w:val="1F3864"/>
          <w:spacing w:val="20"/>
          <w:sz w:val="19"/>
          <w:szCs w:val="19"/>
        </w:rPr>
        <w:t xml:space="preserve">KEY REFERENCES</w:t>
      </w:r>
    </w:p>
    <w:p>
      <w:pPr>
        <w:spacing w:after="80"/>
      </w:pPr>
      <w:r>
        <w:rPr>
          <w:i/>
          <w:iCs/>
          <w:color w:val="595959"/>
          <w:sz w:val="17"/>
          <w:szCs w:val="17"/>
        </w:rPr>
        <w:t xml:space="preserve">Lustig, Roussanov &amp; Verdelhan (2011) · Dalgic &amp; Ozhan (2024) · Engle (2002) · Baur &amp; Lucey (2010) · Ranaldo &amp; Söderlind (2010) · Caldara &amp; Iacoviello (2022) · Liu &amp; Zhang (2024) · Corsetti, Lloyd &amp; Ostry (2025) · Chen &amp; Rogoff (2003) · Kilian (2009) · ECB FSR Nov 2025.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2026-04-08T09:12:08.279Z</dcterms:created>
  <dcterms:modified xsi:type="dcterms:W3CDTF">2026-04-08T09:12:08.280Z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