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the design, development, and optimisation of AI-powered content creation platforms using TypeScript and cloud-native technologies.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in crafting scalable, performant, and user-centric web applications for a global market.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Full-stack product development (frontend and backend delivery)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Feature ownership across AI-driven platforms (e.g., PIXLR, Designs.ai, Vectr)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Software architecture, database design, and DevOps integration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(Product, Design, AI/ML, Operations and teams)</w:t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Software Design &amp; Development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implement, and maintain scalable components using TypeScript, ReactJS, and NodeJS.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frontend interfaces optimised for speed and responsiveness.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Architect secure and scalable backend systems for high-availability environments.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AI Feature Integration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Deploy AI-powered features into production environments.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Optimise AI integrations for performance, stability, and usability.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Planning &amp; CI/CD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agile ceremonies including sprint planning, backlog grooming, and retrospectives.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Review code submissions and ensure quality through CI/CD processes.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Cross-functional Collaboration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user and business needs into practical, technical outcomes.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Liaise with UI/UX, Product, and ML teams for aligned product delivery.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Operational Support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Troubleshoot application issues across frontend and backend layers.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second-level technical support to business stakeholders as needed.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Sr Full Stack Engineer</w:t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 xml:space="preserve"> </w:t>
      <w:tab/>
      <w:tab/>
      <w:t xml:space="preserve">: Technology Head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