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40"/>
        <w:jc w:val="center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posOffset>2314575</wp:posOffset>
            </wp:positionH>
            <wp:positionV relativeFrom="paragraph">
              <wp:posOffset>-487045</wp:posOffset>
            </wp:positionV>
            <wp:extent cx="749300" cy="1152525"/>
            <wp:effectExtent l="0" t="0" r="0" b="0"/>
            <wp:wrapNone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4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4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4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4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40"/>
        <w:jc w:val="center"/>
        <w:rPr>
          <w:rFonts w:ascii="Arial" w:hAnsi="Arial" w:cs="Arial"/>
        </w:rPr>
      </w:pPr>
      <w:bookmarkStart w:id="0" w:name="_Hlk44456088"/>
      <w:bookmarkEnd w:id="0"/>
      <w:r>
        <w:rPr>
          <w:rFonts w:cs="Arial" w:ascii="Arial" w:hAnsi="Arial"/>
        </w:rPr>
        <w:t>UNIVERSIDADE FEDERAL DA PARAÍBA</w:t>
      </w:r>
    </w:p>
    <w:p>
      <w:pPr>
        <w:pStyle w:val="Normal"/>
        <w:spacing w:before="0" w:after="4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CENTRO DE CIÊNCIAS EXATAS E DA NATUREZA   </w:t>
      </w:r>
    </w:p>
    <w:p>
      <w:pPr>
        <w:pStyle w:val="Normal"/>
        <w:spacing w:before="0" w:after="40"/>
        <w:jc w:val="center"/>
        <w:rPr>
          <w:rFonts w:ascii="Arial" w:hAnsi="Arial" w:cs="Arial"/>
        </w:rPr>
      </w:pPr>
      <w:r>
        <w:rPr>
          <w:rFonts w:cs="Arial" w:ascii="Arial" w:hAnsi="Arial"/>
        </w:rPr>
        <w:t>DEPARTAMENTO DE ESTATÍSTICA</w:t>
      </w:r>
    </w:p>
    <w:p>
      <w:pPr>
        <w:pStyle w:val="Normal"/>
        <w:spacing w:before="0" w:after="40"/>
        <w:jc w:val="center"/>
        <w:rPr>
          <w:rFonts w:ascii="Arial" w:hAnsi="Arial" w:cs="Arial"/>
          <w:sz w:val="26"/>
          <w:szCs w:val="26"/>
        </w:rPr>
      </w:pPr>
      <w:r>
        <w:rPr/>
        <w:t xml:space="preserve"> </w:t>
      </w:r>
      <w:r>
        <w:rPr>
          <w:sz w:val="28"/>
          <w:szCs w:val="28"/>
        </w:rPr>
        <w:t>DISCIPLINA: DEMOGRAFIA 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color w:val="FFFFFF"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8"/>
          <w:szCs w:val="28"/>
        </w:rPr>
        <w:t>Análise demográfica do estado do Pará nos censos de 2010 e 2022 (IBGE)</w:t>
      </w:r>
    </w:p>
    <w:p>
      <w:pPr>
        <w:pStyle w:val="Normal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Docente: </w:t>
      </w:r>
    </w:p>
    <w:p>
      <w:pPr>
        <w:pStyle w:val="Normal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  <w:t xml:space="preserve">Everlane Suane de Araújo da Silva </w:t>
      </w:r>
    </w:p>
    <w:p>
      <w:pPr>
        <w:pStyle w:val="Normal"/>
        <w:rPr>
          <w:rFonts w:ascii="Arial" w:hAnsi="Arial" w:cs="Arial"/>
          <w:b/>
          <w:bCs/>
          <w:sz w:val="23"/>
          <w:szCs w:val="23"/>
        </w:rPr>
      </w:pPr>
      <w:r>
        <w:rPr>
          <w:rFonts w:cs="Arial" w:ascii="Arial" w:hAnsi="Arial"/>
          <w:b/>
          <w:bCs/>
          <w:sz w:val="23"/>
          <w:szCs w:val="23"/>
        </w:rPr>
        <w:t xml:space="preserve">Discente: </w:t>
      </w:r>
      <w:r>
        <w:rPr>
          <w:rFonts w:cs="Arial" w:ascii="Arial" w:hAnsi="Arial"/>
          <w:b/>
          <w:bCs/>
          <w:color w:val="FFFFFF"/>
          <w:sz w:val="23"/>
          <w:szCs w:val="23"/>
        </w:rPr>
        <w:t>Leony Heverton Xavier Rodrigues - 20240045200</w:t>
      </w:r>
    </w:p>
    <w:p>
      <w:pPr>
        <w:pStyle w:val="Normal"/>
        <w:rPr>
          <w:rFonts w:ascii="Arial" w:hAnsi="Arial" w:cs="Arial"/>
          <w:b/>
          <w:bCs/>
          <w:color w:val="FFFFFF"/>
        </w:rPr>
      </w:pPr>
      <w:r>
        <w:rPr>
          <w:rFonts w:cs="Arial" w:ascii="Arial" w:hAnsi="Arial"/>
          <w:b/>
          <w:bCs/>
          <w:color w:val="FFFFFF"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João Pessoa – PB</w:t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</w:rPr>
        <w:t>Julho</w:t>
      </w:r>
      <w:r>
        <w:rPr>
          <w:rFonts w:cs="Arial" w:ascii="Arial" w:hAnsi="Arial"/>
          <w:b/>
          <w:bCs/>
        </w:rPr>
        <w:t>, 2025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b/>
          <w:bCs/>
          <w:color w:val="FFFFFF"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8"/>
          <w:szCs w:val="28"/>
        </w:rPr>
        <w:t>Análise demográfica do estado do Pará nos censos de 2010 e 2022 (IBGE)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Everlane Suane A. Silva</w:t>
      </w:r>
      <w:r>
        <w:rPr>
          <w:rStyle w:val="FootnoteReference"/>
          <w:rFonts w:cs="Times New Roman" w:ascii="Times New Roman" w:hAnsi="Times New Roman"/>
          <w:sz w:val="24"/>
          <w:szCs w:val="24"/>
        </w:rPr>
        <w:footnoteReference w:id="2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Leony H. Xavier Rodrigues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RESUMO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color w:val="0070C0"/>
          <w:lang w:val="pt-PT"/>
        </w:rPr>
      </w:pPr>
      <w:r>
        <w:rPr>
          <w:color w:val="0070C0"/>
          <w:lang w:val="pt-PT"/>
        </w:rPr>
        <w:t xml:space="preserve">Apresenta de forma resumida a proposta investigativa descrita </w:t>
      </w:r>
      <w:r>
        <w:rPr>
          <w:b/>
          <w:color w:val="0070C0"/>
          <w:lang w:val="pt-PT"/>
        </w:rPr>
        <w:t>no trabalho.</w:t>
      </w:r>
      <w:r>
        <w:rPr>
          <w:color w:val="0070C0"/>
          <w:lang w:val="pt-PT"/>
        </w:rPr>
        <w:t xml:space="preserve"> É elaborado de forma clara e objetiva em um único parágrafo com cerca de 250 a 300 palavras e espaçamento simples.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Times New Roman" w:hAnsi="Times New Roman"/>
          <w:color w:val="0070C0"/>
          <w:sz w:val="24"/>
          <w:szCs w:val="24"/>
        </w:rPr>
        <w:t>No resumo sistematizamos as ideias principais de todas as sessões do documento.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Palavras-chave: </w:t>
      </w:r>
      <w:r>
        <w:rPr>
          <w:rFonts w:cs="Times New Roman" w:ascii="Times New Roman" w:hAnsi="Times New Roman"/>
          <w:color w:val="0070C0"/>
          <w:sz w:val="24"/>
          <w:szCs w:val="24"/>
        </w:rPr>
        <w:t>identifique no máximo 3 palavras que resume as ideias principais tratadas no texto.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INTRODUÇÃO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67" w:leader="none"/>
          <w:tab w:val="left" w:pos="709" w:leader="none"/>
          <w:tab w:val="left" w:pos="851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PROCEDIMENTO METODOLÓGICO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eastAsia=""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Theme="minorEastAsia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  </w:t>
      </w:r>
      <w:r>
        <w:rPr>
          <w:rFonts w:eastAsia=""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Theme="minorEastAsia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Trata-se de um estudo</w:t>
      </w:r>
      <w:r>
        <w:rPr>
          <w:rStyle w:val="Strong"/>
          <w:rFonts w:eastAsia=""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Theme="minorEastAsia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 descritivo e exploratório de séries temporais</w:t>
      </w:r>
      <w:r>
        <w:rPr>
          <w:rFonts w:eastAsia=""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Theme="minorEastAsia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. A análise é realizada com base em dados agregados para o estado do Pará, permitindo a comparação de indicadores demográficos entre dois pontos no tempo: os Censos Demográficos de 2010 e 2022.</w:t>
      </w:r>
      <w:r>
        <w:rPr>
          <w:rFonts w:eastAsia="" w:cs="Times New Roman" w:ascii="Times New Roman" w:hAnsi="Times New Roman" w:eastAsiaTheme="minorEastAsia"/>
          <w:color w:val="0070C0"/>
          <w:sz w:val="24"/>
          <w:szCs w:val="24"/>
        </w:rPr>
        <w:t xml:space="preserve"> </w:t>
      </w:r>
      <w:r>
        <w:rPr>
          <w:rFonts w:eastAsia=""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Theme="minorEastAsia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Os dados primários foram obtidos do </w:t>
      </w:r>
      <w:r>
        <w:rPr>
          <w:rStyle w:val="Strong"/>
          <w:rFonts w:eastAsia=""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Theme="minorEastAsia"/>
          <w:b/>
          <w:i w:val="false"/>
          <w:caps w:val="false"/>
          <w:smallCaps w:val="false"/>
          <w:color w:val="F8FAFF"/>
          <w:spacing w:val="0"/>
          <w:sz w:val="24"/>
          <w:szCs w:val="24"/>
        </w:rPr>
        <w:t>Instituto Brasileiro de Geografia e Estatística (IBGE)</w:t>
      </w:r>
      <w:r>
        <w:rPr>
          <w:rFonts w:eastAsia=""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Theme="minorEastAsia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, provenientes dos </w:t>
      </w:r>
      <w:r>
        <w:rPr>
          <w:rStyle w:val="Strong"/>
          <w:rFonts w:eastAsia=""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Theme="minorEastAsia"/>
          <w:b/>
          <w:i w:val="false"/>
          <w:caps w:val="false"/>
          <w:smallCaps w:val="false"/>
          <w:color w:val="F8FAFF"/>
          <w:spacing w:val="0"/>
          <w:sz w:val="24"/>
          <w:szCs w:val="24"/>
        </w:rPr>
        <w:t>Censos Demográficos de 2010 e 2022</w:t>
      </w:r>
      <w:r>
        <w:rPr>
          <w:rFonts w:eastAsia=""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Theme="minorEastAsia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. O acesso às informações foi realizado através do </w:t>
      </w:r>
      <w:r>
        <w:rPr>
          <w:rStyle w:val="Strong"/>
          <w:rFonts w:eastAsia=""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Theme="minorEastAsia"/>
          <w:b/>
          <w:i w:val="false"/>
          <w:caps w:val="false"/>
          <w:smallCaps w:val="false"/>
          <w:color w:val="F8FAFF"/>
          <w:spacing w:val="0"/>
          <w:sz w:val="24"/>
          <w:szCs w:val="24"/>
        </w:rPr>
        <w:t>Sistema IBGE de Recuperação Automática (SIDRA)</w:t>
      </w:r>
      <w:r>
        <w:rPr>
          <w:rFonts w:eastAsia="" w:cs="Times New Roman" w:ascii="Times New Roman" w:hAnsi="Times New Roman" w:eastAsiaTheme="minorEastAsia"/>
          <w:color w:val="FFFFFF"/>
          <w:sz w:val="24"/>
          <w:szCs w:val="24"/>
        </w:rPr>
        <w:t xml:space="preserve">. </w:t>
      </w:r>
      <w:r>
        <w:rPr>
          <w:rFonts w:eastAsia="" w:cs="Times New Roman" w:ascii="Times New Roman" w:hAnsi="Times New Roman" w:eastAsiaTheme="minorEastAsia"/>
          <w:color w:val="FFFFFF"/>
          <w:sz w:val="24"/>
          <w:szCs w:val="24"/>
        </w:rPr>
        <w:t>Os dados foram analisados no Rstudio através da linguagem R e foram utilizados pacotes como: (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/>
          <w:iCs/>
          <w:caps w:val="false"/>
          <w:smallCaps w:val="false"/>
          <w:color w:val="F8FAFF"/>
          <w:spacing w:val="0"/>
          <w:sz w:val="24"/>
        </w:rPr>
        <w:t>sidrar, dplyr, gtsummary, stringr, ggplot2, tidyr, knitr, scales</w:t>
      </w:r>
      <w:r>
        <w:rPr>
          <w:rFonts w:eastAsia="" w:cs="Times New Roman" w:ascii="Times New Roman" w:hAnsi="Times New Roman" w:eastAsiaTheme="minorEastAsia"/>
          <w:color w:val="FFFFFF"/>
          <w:sz w:val="24"/>
          <w:szCs w:val="24"/>
        </w:rPr>
        <w:t>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" w:cs="Times New Roman" w:eastAsiaTheme="minorEastAsia"/>
          <w:color w:val="0070C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70C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RESULTADOS E DISCUSSÃO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Times New Roman"/>
          <w:b/>
          <w:bCs/>
          <w:sz w:val="28"/>
          <w:szCs w:val="28"/>
        </w:rPr>
      </w:pPr>
      <w:r>
        <w:rPr>
          <w:rFonts w:cs="Times New Roman" w:ascii="Calibri" w:hAnsi="Calibri"/>
          <w:b/>
          <w:bCs/>
          <w:sz w:val="28"/>
          <w:szCs w:val="28"/>
        </w:rPr>
        <w:t>Censos 2010 e 2022.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  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A população do estado do Pará apresentou um crescimento significativo entre 2010 e 2022, passando de 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7.581.051</w:t>
      </w:r>
      <w:r>
        <w:rPr>
          <w:rFonts w:cs="Times New Roman" w:ascii="Times New Roman" w:hAnsi="Times New Roman"/>
          <w:caps w:val="false"/>
          <w:smallCaps w:val="false"/>
          <w:color w:val="F8FAFF"/>
          <w:spacing w:val="0"/>
          <w:sz w:val="24"/>
          <w:szCs w:val="24"/>
        </w:rPr>
        <w:t> 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para 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8.120.131</w:t>
      </w:r>
      <w:r>
        <w:rPr>
          <w:rFonts w:cs="Times New Roman" w:ascii="Times New Roman" w:hAnsi="Times New Roman"/>
          <w:caps w:val="false"/>
          <w:smallCaps w:val="false"/>
          <w:color w:val="F8FAFF"/>
          <w:spacing w:val="0"/>
          <w:sz w:val="24"/>
          <w:szCs w:val="24"/>
        </w:rPr>
        <w:t> 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habitantes, o que representa um incremento de 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7,1%</w:t>
      </w:r>
      <w:r>
        <w:rPr>
          <w:rFonts w:cs="Times New Roman" w:ascii="Times New Roman" w:hAnsi="Times New Roman"/>
          <w:caps w:val="false"/>
          <w:smallCaps w:val="false"/>
          <w:color w:val="F8FAFF"/>
          <w:spacing w:val="0"/>
          <w:sz w:val="24"/>
          <w:szCs w:val="24"/>
        </w:rPr>
        <w:t> 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em doze anos. Este crescimento, embora positivo, confirma a desaceleração do ritmo de crescimento populacional que acompanha a transição demográfica em curso no estado, um fenômeno amplamente documentado para o Brasil como um todo (IBGE, 2010; PAES, 2018).</w:t>
      </w:r>
      <w:r>
        <w:rPr>
          <w:rFonts w:cs="Times New Roman" w:ascii="Times New Roman" w:hAnsi="Times New Roman"/>
          <w:color w:val="0070C0"/>
          <w:sz w:val="24"/>
          <w:szCs w:val="24"/>
        </w:rPr>
        <w:t xml:space="preserve"> </w:t>
      </w:r>
    </w:p>
    <w:p>
      <w:pPr>
        <w:pStyle w:val="TableCaption"/>
        <w:keepNext w:val="true"/>
        <w:spacing w:lineRule="auto" w:line="240" w:before="60" w:after="60"/>
        <w:ind w:hanging="0" w:left="60" w:right="60"/>
        <w:jc w:val="center"/>
        <w:rPr/>
      </w:pPr>
      <w:r>
        <w:rPr/>
        <w:t>Tabela 1: População Residente do Pará (2010-2022)</w:t>
      </w:r>
    </w:p>
    <w:tbl>
      <w:tblPr>
        <w:tblW w:w="578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304"/>
        <w:gridCol w:w="1696"/>
        <w:gridCol w:w="1362"/>
        <w:gridCol w:w="1420"/>
      </w:tblGrid>
      <w:tr>
        <w:trPr>
          <w:tblHeader w:val="true"/>
          <w:trHeight w:val="360" w:hRule="atLeast"/>
        </w:trPr>
        <w:tc>
          <w:tcPr>
            <w:tcW w:w="1304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Ano</w:t>
            </w:r>
          </w:p>
        </w:tc>
        <w:tc>
          <w:tcPr>
            <w:tcW w:w="1696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População Total</w:t>
            </w:r>
          </w:p>
        </w:tc>
        <w:tc>
          <w:tcPr>
            <w:tcW w:w="1362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Homens</w:t>
            </w:r>
          </w:p>
        </w:tc>
        <w:tc>
          <w:tcPr>
            <w:tcW w:w="1420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Mulheres</w:t>
            </w:r>
          </w:p>
        </w:tc>
      </w:tr>
      <w:tr>
        <w:trPr>
          <w:trHeight w:val="360" w:hRule="atLeast"/>
        </w:trPr>
        <w:tc>
          <w:tcPr>
            <w:tcW w:w="1304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2010</w:t>
            </w:r>
          </w:p>
        </w:tc>
        <w:tc>
          <w:tcPr>
            <w:tcW w:w="1696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7.581.051</w:t>
            </w:r>
          </w:p>
        </w:tc>
        <w:tc>
          <w:tcPr>
            <w:tcW w:w="1362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3.821.837</w:t>
            </w:r>
          </w:p>
        </w:tc>
        <w:tc>
          <w:tcPr>
            <w:tcW w:w="1420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3.759.214</w:t>
            </w:r>
          </w:p>
        </w:tc>
      </w:tr>
      <w:tr>
        <w:trPr>
          <w:trHeight w:val="360" w:hRule="atLeast"/>
        </w:trPr>
        <w:tc>
          <w:tcPr>
            <w:tcW w:w="13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169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8.120.131</w:t>
            </w:r>
          </w:p>
        </w:tc>
        <w:tc>
          <w:tcPr>
            <w:tcW w:w="13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4.051.813</w:t>
            </w:r>
          </w:p>
        </w:tc>
        <w:tc>
          <w:tcPr>
            <w:tcW w:w="14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4.068.318</w:t>
            </w:r>
          </w:p>
        </w:tc>
      </w:tr>
      <w:tr>
        <w:trPr>
          <w:trHeight w:val="360" w:hRule="atLeast"/>
        </w:trPr>
        <w:tc>
          <w:tcPr>
            <w:tcW w:w="1304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Variação</w:t>
            </w:r>
          </w:p>
        </w:tc>
        <w:tc>
          <w:tcPr>
            <w:tcW w:w="1696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+539.080</w:t>
            </w:r>
          </w:p>
        </w:tc>
        <w:tc>
          <w:tcPr>
            <w:tcW w:w="1362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+229.976</w:t>
            </w:r>
          </w:p>
        </w:tc>
        <w:tc>
          <w:tcPr>
            <w:tcW w:w="1420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+309.104</w:t>
            </w:r>
          </w:p>
        </w:tc>
      </w:tr>
      <w:tr>
        <w:trPr>
          <w:trHeight w:val="360" w:hRule="atLeast"/>
        </w:trPr>
        <w:tc>
          <w:tcPr>
            <w:tcW w:w="13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% Variação</w:t>
            </w:r>
          </w:p>
        </w:tc>
        <w:tc>
          <w:tcPr>
            <w:tcW w:w="169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+7,1%</w:t>
            </w:r>
          </w:p>
        </w:tc>
        <w:tc>
          <w:tcPr>
            <w:tcW w:w="13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+6,0%</w:t>
            </w:r>
          </w:p>
        </w:tc>
        <w:tc>
          <w:tcPr>
            <w:tcW w:w="14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+8,2%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Times New Roman" w:hAnsi="Times New Roman"/>
          <w:color w:val="0070C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Times New Roman" w:hAnsi="Times New Roman"/>
          <w:color w:val="0070C0"/>
          <w:sz w:val="24"/>
          <w:szCs w:val="24"/>
        </w:rPr>
      </w:r>
    </w:p>
    <w:p>
      <w:pPr>
        <w:pStyle w:val="BodyText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  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F8FAFF"/>
          <w:spacing w:val="0"/>
          <w:sz w:val="24"/>
          <w:szCs w:val="24"/>
        </w:rPr>
        <w:t>Inversão da Razão de Sexo: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 Um dado demográfico crucial que se alterou foi a 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F8FAFF"/>
          <w:spacing w:val="0"/>
          <w:sz w:val="24"/>
          <w:szCs w:val="24"/>
        </w:rPr>
        <w:t>Razão de Sexo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. Em 2010, havia uma leve predominância masculina 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F8FAFF"/>
          <w:spacing w:val="0"/>
          <w:sz w:val="24"/>
          <w:szCs w:val="24"/>
        </w:rPr>
        <w:t>(101,7 homens para cada 100 mulheres)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, padrão típico de populações jovens. Em 2022, essa relação se inverteu 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F8FAFF"/>
          <w:spacing w:val="0"/>
          <w:sz w:val="24"/>
          <w:szCs w:val="24"/>
        </w:rPr>
        <w:t>(99,6 homens para cada 100 mulheres)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, alinhando-se ao padrão nacional. Esta inversão é um forte indício do amadurecimento da estrutura populacional, onde a maior sobrevida feminina passa a pesar mais do que o viés masculino nos nascimentos.</w:t>
      </w:r>
    </w:p>
    <w:p>
      <w:pPr>
        <w:pStyle w:val="BodyText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</w:r>
    </w:p>
    <w:p>
      <w:pPr>
        <w:pStyle w:val="Normal"/>
        <w:keepNext w:val="true"/>
        <w:spacing w:lineRule="auto" w:line="240" w:before="60" w:after="60"/>
        <w:ind w:hanging="0" w:left="60" w:right="60"/>
        <w:jc w:val="center"/>
        <w:rPr>
          <w:b/>
          <w:bCs/>
          <w:i/>
          <w:i/>
          <w:iCs/>
        </w:rPr>
      </w:pPr>
      <w:r>
        <w:rPr>
          <w:b/>
          <w:bCs/>
          <w:i/>
          <w:iCs/>
        </w:rPr>
        <w:t>Ta</w:t>
      </w:r>
      <w:r>
        <w:rPr>
          <w:b/>
          <w:bCs/>
          <w:i/>
          <w:iCs/>
        </w:rPr>
        <w:t>bela 2: Razão de Sexo no Pará (homens para cada 100 mulheres)</w:t>
      </w:r>
    </w:p>
    <w:tbl>
      <w:tblPr>
        <w:tblW w:w="536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129"/>
        <w:gridCol w:w="1518"/>
        <w:gridCol w:w="2719"/>
      </w:tblGrid>
      <w:tr>
        <w:trPr>
          <w:tblHeader w:val="true"/>
          <w:trHeight w:val="360" w:hRule="atLeast"/>
        </w:trPr>
        <w:tc>
          <w:tcPr>
            <w:tcW w:w="1129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Ano</w:t>
            </w:r>
          </w:p>
        </w:tc>
        <w:tc>
          <w:tcPr>
            <w:tcW w:w="1518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Razão Sexo</w:t>
            </w:r>
          </w:p>
        </w:tc>
        <w:tc>
          <w:tcPr>
            <w:tcW w:w="2719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Classificação</w:t>
            </w:r>
          </w:p>
        </w:tc>
      </w:tr>
      <w:tr>
        <w:trPr>
          <w:trHeight w:val="360" w:hRule="atLeast"/>
        </w:trPr>
        <w:tc>
          <w:tcPr>
            <w:tcW w:w="112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2010</w:t>
            </w:r>
          </w:p>
        </w:tc>
        <w:tc>
          <w:tcPr>
            <w:tcW w:w="1518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101,7</w:t>
            </w:r>
          </w:p>
        </w:tc>
        <w:tc>
          <w:tcPr>
            <w:tcW w:w="271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Predomínio Masculino</w:t>
            </w:r>
          </w:p>
        </w:tc>
      </w:tr>
      <w:tr>
        <w:trPr>
          <w:trHeight w:val="360" w:hRule="atLeast"/>
        </w:trPr>
        <w:tc>
          <w:tcPr>
            <w:tcW w:w="11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151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99,6</w:t>
            </w:r>
          </w:p>
        </w:tc>
        <w:tc>
          <w:tcPr>
            <w:tcW w:w="271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Predomínio Feminino</w:t>
            </w:r>
          </w:p>
        </w:tc>
      </w:tr>
      <w:tr>
        <w:trPr>
          <w:trHeight w:val="360" w:hRule="atLeast"/>
        </w:trPr>
        <w:tc>
          <w:tcPr>
            <w:tcW w:w="112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Variação</w:t>
            </w:r>
          </w:p>
        </w:tc>
        <w:tc>
          <w:tcPr>
            <w:tcW w:w="1518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-2,1</w:t>
            </w:r>
          </w:p>
        </w:tc>
        <w:tc>
          <w:tcPr>
            <w:tcW w:w="271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Inversão do padrão</w:t>
            </w:r>
          </w:p>
        </w:tc>
      </w:tr>
    </w:tbl>
    <w:p>
      <w:pPr>
        <w:pStyle w:val="BodyText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  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F8FAFF"/>
          <w:spacing w:val="0"/>
          <w:sz w:val="24"/>
          <w:szCs w:val="24"/>
        </w:rPr>
        <w:t>Aumento da Idade Mediana: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 A "idade que divide a população ao meio" subiu decisivamente. Para os homens, a idade mediana saltou de 24 para 29 anos, e para as mulheres, de 24 para 30 anos. Este deslocamento de 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F8FAFF"/>
          <w:spacing w:val="0"/>
          <w:sz w:val="24"/>
          <w:szCs w:val="24"/>
        </w:rPr>
        <w:t>6 anos na mediana em apenas 12 anos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 é um ritmo extremamente rápido, indicando que a população está ficando mais velha a passos largos.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</w:r>
    </w:p>
    <w:p>
      <w:pPr>
        <w:pStyle w:val="TableCaption"/>
        <w:keepNext w:val="true"/>
        <w:spacing w:lineRule="auto" w:line="240" w:before="60" w:after="60"/>
        <w:ind w:hanging="0" w:left="60" w:right="60"/>
        <w:jc w:val="center"/>
        <w:rPr/>
      </w:pPr>
      <w:r>
        <w:rPr/>
        <w:t>Tabela 3: Evolução da Idade Mediana por Sexo (em anos)</w:t>
      </w:r>
    </w:p>
    <w:tbl>
      <w:tblPr>
        <w:tblW w:w="448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080"/>
        <w:gridCol w:w="1079"/>
        <w:gridCol w:w="1081"/>
        <w:gridCol w:w="1241"/>
      </w:tblGrid>
      <w:tr>
        <w:trPr>
          <w:tblHeader w:val="true"/>
          <w:trHeight w:val="360" w:hRule="atLeast"/>
        </w:trPr>
        <w:tc>
          <w:tcPr>
            <w:tcW w:w="1080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Sexo</w:t>
            </w:r>
          </w:p>
        </w:tc>
        <w:tc>
          <w:tcPr>
            <w:tcW w:w="1079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2010</w:t>
            </w:r>
          </w:p>
        </w:tc>
        <w:tc>
          <w:tcPr>
            <w:tcW w:w="1081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1241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Variação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Homens</w:t>
            </w:r>
          </w:p>
        </w:tc>
        <w:tc>
          <w:tcPr>
            <w:tcW w:w="107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</w:t>
            </w:r>
          </w:p>
        </w:tc>
        <w:tc>
          <w:tcPr>
            <w:tcW w:w="1081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29</w:t>
            </w:r>
          </w:p>
        </w:tc>
        <w:tc>
          <w:tcPr>
            <w:tcW w:w="1241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+5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Mulheres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30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</w:t>
            </w:r>
          </w:p>
        </w:tc>
        <w:tc>
          <w:tcPr>
            <w:tcW w:w="107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</w:t>
            </w:r>
          </w:p>
        </w:tc>
        <w:tc>
          <w:tcPr>
            <w:tcW w:w="1081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29,5</w:t>
            </w:r>
          </w:p>
        </w:tc>
        <w:tc>
          <w:tcPr>
            <w:tcW w:w="1241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+5,5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  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F8FAFF"/>
          <w:spacing w:val="0"/>
          <w:sz w:val="24"/>
          <w:szCs w:val="24"/>
        </w:rPr>
        <w:t>Alívio da Pressão por Dependência: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 A 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F8FAFF"/>
          <w:spacing w:val="0"/>
          <w:sz w:val="24"/>
          <w:szCs w:val="24"/>
        </w:rPr>
        <w:t>Razão de Dependência Total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 caiu substancialmente, de 56% para cerca de 46,5%. Esta redução de quase 10 pontos percentuais é explicada principalmente pelo forte declínio da 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F8FAFF"/>
          <w:spacing w:val="0"/>
          <w:sz w:val="24"/>
          <w:szCs w:val="24"/>
        </w:rPr>
        <w:t>Razão de Dependência Juvenil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 (que caiu de ~48% para ~36%), consequência direta da redução no número de nascimentos. Paralelamente, a 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F8FAFF"/>
          <w:spacing w:val="0"/>
          <w:sz w:val="24"/>
          <w:szCs w:val="24"/>
        </w:rPr>
        <w:t>Razão de Dependência de Idosos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 aumentou (de ~7,4% para ~10,6%), refletindo o crescimento absoluto e relativo da população idosa.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</w:r>
    </w:p>
    <w:p>
      <w:pPr>
        <w:pStyle w:val="TableCaption"/>
        <w:keepNext w:val="true"/>
        <w:spacing w:lineRule="auto" w:line="240" w:before="60" w:after="60"/>
        <w:ind w:hanging="0" w:left="60" w:right="60"/>
        <w:jc w:val="center"/>
        <w:rPr/>
      </w:pPr>
      <w:r>
        <w:rPr/>
        <w:t>Tabela 5: Razões de Dependência Demográfica (%)</w:t>
      </w:r>
    </w:p>
    <w:tbl>
      <w:tblPr>
        <w:tblW w:w="621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2558"/>
        <w:gridCol w:w="1077"/>
        <w:gridCol w:w="1094"/>
        <w:gridCol w:w="1482"/>
      </w:tblGrid>
      <w:tr>
        <w:trPr>
          <w:tblHeader w:val="true"/>
          <w:trHeight w:val="360" w:hRule="atLeast"/>
        </w:trPr>
        <w:tc>
          <w:tcPr>
            <w:tcW w:w="2558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Indicador</w:t>
            </w:r>
          </w:p>
        </w:tc>
        <w:tc>
          <w:tcPr>
            <w:tcW w:w="1077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2010</w:t>
            </w:r>
          </w:p>
        </w:tc>
        <w:tc>
          <w:tcPr>
            <w:tcW w:w="1094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1482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Variação</w:t>
            </w:r>
          </w:p>
        </w:tc>
      </w:tr>
      <w:tr>
        <w:trPr>
          <w:trHeight w:val="360" w:hRule="atLeast"/>
        </w:trPr>
        <w:tc>
          <w:tcPr>
            <w:tcW w:w="2558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Dependência Juvenil</w:t>
            </w:r>
          </w:p>
        </w:tc>
        <w:tc>
          <w:tcPr>
            <w:tcW w:w="1077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48,4%</w:t>
            </w:r>
          </w:p>
        </w:tc>
        <w:tc>
          <w:tcPr>
            <w:tcW w:w="1094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36,0%</w:t>
            </w:r>
          </w:p>
        </w:tc>
        <w:tc>
          <w:tcPr>
            <w:tcW w:w="1482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-12,4</w:t>
            </w:r>
          </w:p>
        </w:tc>
      </w:tr>
      <w:tr>
        <w:trPr>
          <w:trHeight w:val="360" w:hRule="atLeast"/>
        </w:trPr>
        <w:tc>
          <w:tcPr>
            <w:tcW w:w="255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Dependência Idosa</w:t>
            </w:r>
          </w:p>
        </w:tc>
        <w:tc>
          <w:tcPr>
            <w:tcW w:w="107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7,4%</w:t>
            </w:r>
          </w:p>
        </w:tc>
        <w:tc>
          <w:tcPr>
            <w:tcW w:w="10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10,6%</w:t>
            </w:r>
          </w:p>
        </w:tc>
        <w:tc>
          <w:tcPr>
            <w:tcW w:w="14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+3,2</w:t>
            </w:r>
          </w:p>
        </w:tc>
      </w:tr>
      <w:tr>
        <w:trPr>
          <w:trHeight w:val="360" w:hRule="atLeast"/>
        </w:trPr>
        <w:tc>
          <w:tcPr>
            <w:tcW w:w="2558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Dependência Total</w:t>
            </w:r>
          </w:p>
        </w:tc>
        <w:tc>
          <w:tcPr>
            <w:tcW w:w="1077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55,8%</w:t>
            </w:r>
          </w:p>
        </w:tc>
        <w:tc>
          <w:tcPr>
            <w:tcW w:w="1094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46,6%</w:t>
            </w:r>
          </w:p>
        </w:tc>
        <w:tc>
          <w:tcPr>
            <w:tcW w:w="1482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-9,2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Times New Roman" w:hAnsi="Times New Roman"/>
          <w:color w:val="0070C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Times New Roman" w:hAnsi="Times New Roman"/>
          <w:color w:val="0070C0"/>
          <w:sz w:val="24"/>
          <w:szCs w:val="24"/>
        </w:rPr>
      </w:r>
    </w:p>
    <w:p>
      <w:pPr>
        <w:pStyle w:val="BodyText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70C0"/>
          <w:spacing w:val="0"/>
          <w:sz w:val="24"/>
          <w:szCs w:val="24"/>
        </w:rPr>
        <w:t xml:space="preserve">  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F8FAFF"/>
          <w:spacing w:val="0"/>
          <w:sz w:val="24"/>
          <w:szCs w:val="24"/>
        </w:rPr>
        <w:t>Melhoria na Declaração da Idade: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 A melhoria na qualidade dos dados é atestada pela redução do 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F8FAFF"/>
          <w:spacing w:val="0"/>
          <w:sz w:val="24"/>
          <w:szCs w:val="24"/>
        </w:rPr>
        <w:t>Índice de Myers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, de 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F8FAFF"/>
          <w:spacing w:val="0"/>
          <w:sz w:val="24"/>
          <w:szCs w:val="24"/>
        </w:rPr>
        <w:t>4,42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 em 2010 para 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F8FAFF"/>
          <w:spacing w:val="0"/>
          <w:sz w:val="24"/>
          <w:szCs w:val="24"/>
        </w:rPr>
        <w:t>3,38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 em 2022. Um valor mais baixo indica menor concentração em idades terminadas em "0" e "5", sugerindo uma declaração da idade mais precisa pela população, o que confere maior robustez aos indicadores calculados para o Censo 2022.</w:t>
      </w:r>
    </w:p>
    <w:p>
      <w:pPr>
        <w:pStyle w:val="BodyText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</w:r>
    </w:p>
    <w:p>
      <w:pPr>
        <w:pStyle w:val="TableCaption"/>
        <w:spacing w:lineRule="auto" w:line="240" w:before="60" w:after="60"/>
        <w:ind w:hanging="0" w:left="60" w:right="60"/>
        <w:jc w:val="center"/>
        <w:rPr/>
      </w:pPr>
      <w:r>
        <w:rPr/>
        <w:t>Tabela 6: Qualidade da Declaração de Idade - Índice de Myers</w:t>
      </w:r>
    </w:p>
    <w:tbl>
      <w:tblPr>
        <w:tblW w:w="379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080"/>
        <w:gridCol w:w="1079"/>
        <w:gridCol w:w="1635"/>
      </w:tblGrid>
      <w:tr>
        <w:trPr>
          <w:tblHeader w:val="true"/>
          <w:trHeight w:val="360" w:hRule="atLeast"/>
        </w:trPr>
        <w:tc>
          <w:tcPr>
            <w:tcW w:w="1080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Ano</w:t>
            </w:r>
          </w:p>
        </w:tc>
        <w:tc>
          <w:tcPr>
            <w:tcW w:w="1079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Índice</w:t>
            </w:r>
          </w:p>
        </w:tc>
        <w:tc>
          <w:tcPr>
            <w:tcW w:w="1635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Classificação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2010</w:t>
            </w:r>
          </w:p>
        </w:tc>
        <w:tc>
          <w:tcPr>
            <w:tcW w:w="107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4,42</w:t>
            </w:r>
          </w:p>
        </w:tc>
        <w:tc>
          <w:tcPr>
            <w:tcW w:w="1635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Boa qualidade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3,38</w:t>
            </w:r>
          </w:p>
        </w:tc>
        <w:tc>
          <w:tcPr>
            <w:tcW w:w="163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Muito boa qualidade</w:t>
            </w:r>
          </w:p>
        </w:tc>
      </w:tr>
      <w:tr>
        <w:trPr>
          <w:trHeight w:val="596" w:hRule="atLeast"/>
        </w:trPr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Variação</w:t>
            </w:r>
          </w:p>
        </w:tc>
        <w:tc>
          <w:tcPr>
            <w:tcW w:w="107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-1,04</w:t>
            </w:r>
          </w:p>
        </w:tc>
        <w:tc>
          <w:tcPr>
            <w:tcW w:w="1635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Melhoria na declaração</w:t>
            </w:r>
          </w:p>
        </w:tc>
      </w:tr>
    </w:tbl>
    <w:p>
      <w:pPr>
        <w:pStyle w:val="Normal"/>
        <w:spacing w:lineRule="auto" w:line="240" w:before="60" w:after="60"/>
        <w:ind w:hanging="0" w:left="60" w:right="60"/>
        <w:jc w:val="center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    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A velocidade das mudanças observadas no Pará entre 2010 e 2022 é notável. O estado está passando por sua transição demográfica de forma mais acelerada que a média nacional histórica. </w:t>
      </w:r>
    </w:p>
    <w:p>
      <w:pPr>
        <w:pStyle w:val="TableCaption"/>
        <w:spacing w:lineRule="auto" w:line="240" w:before="60" w:after="60"/>
        <w:ind w:hanging="0" w:left="60" w:right="60"/>
        <w:jc w:val="center"/>
        <w:rPr/>
      </w:pPr>
      <w:r>
        <w:rPr/>
        <w:t>Figura 1</w:t>
      </w:r>
      <w:r>
        <w:rPr/>
        <w:t xml:space="preserve">: </w:t>
      </w:r>
      <w:r>
        <w:rPr/>
        <w:t>Pirâmide etária - Censo 2010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3410" cy="234950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234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ableCaption"/>
        <w:spacing w:lineRule="auto" w:line="240" w:before="60" w:after="60"/>
        <w:ind w:hanging="0" w:left="60" w:right="60"/>
        <w:jc w:val="center"/>
        <w:rPr/>
      </w:pPr>
      <w:r>
        <w:rPr/>
        <w:t>Figura 2</w:t>
      </w:r>
      <w:r>
        <w:rPr/>
        <w:t xml:space="preserve">: </w:t>
      </w:r>
      <w:r>
        <w:rPr/>
        <w:t>Pirâmide etária - Censo 2022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4545" cy="264287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264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ableCaption"/>
        <w:spacing w:lineRule="auto" w:line="240" w:before="60" w:after="60"/>
        <w:ind w:hanging="0" w:left="0" w:right="60"/>
        <w:jc w:val="center"/>
        <w:rPr/>
      </w:pPr>
      <w:r>
        <w:rPr/>
        <w:t xml:space="preserve"> </w:t>
      </w:r>
    </w:p>
    <w:p>
      <w:pPr>
        <w:pStyle w:val="TableCaption"/>
        <w:spacing w:lineRule="auto" w:line="240" w:before="60" w:after="60"/>
        <w:ind w:hanging="0" w:left="0" w:right="60"/>
        <w:jc w:val="center"/>
        <w:rPr/>
      </w:pPr>
      <w:r>
        <w:rPr/>
      </w:r>
    </w:p>
    <w:p>
      <w:pPr>
        <w:pStyle w:val="TableCaption"/>
        <w:spacing w:lineRule="auto" w:line="240" w:before="60" w:after="60"/>
        <w:ind w:hanging="0" w:left="0" w:right="60"/>
        <w:jc w:val="center"/>
        <w:rPr/>
      </w:pPr>
      <w:r>
        <w:rPr/>
      </w:r>
    </w:p>
    <w:p>
      <w:pPr>
        <w:pStyle w:val="TableCaption"/>
        <w:spacing w:lineRule="auto" w:line="240" w:before="60" w:after="60"/>
        <w:ind w:hanging="0" w:left="0" w:right="60"/>
        <w:jc w:val="center"/>
        <w:rPr/>
      </w:pPr>
      <w:r>
        <w:rPr/>
        <w:t xml:space="preserve"> </w:t>
      </w:r>
      <w:r>
        <w:rPr/>
        <w:t>Figura 3</w:t>
      </w:r>
      <w:r>
        <w:rPr/>
        <w:t xml:space="preserve">: </w:t>
      </w:r>
      <w:r>
        <w:rPr/>
        <w:t>Comparação da razão de sexo - Censo 2010 e 2022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1125855</wp:posOffset>
            </wp:positionH>
            <wp:positionV relativeFrom="paragraph">
              <wp:posOffset>635</wp:posOffset>
            </wp:positionV>
            <wp:extent cx="3121025" cy="274193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274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Projeção populacional.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  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A análise prospectiva da população do Pará, utilizando diferentes métodos matemáticos de projeção, revela cenários distintos para o ano de 2050, conforme apresentado nas Tabelas e nas Figuras 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seguintes: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BodyText"/>
        <w:spacing w:lineRule="auto" w:line="259" w:before="0" w:after="160"/>
        <w:jc w:val="center"/>
        <w:rPr/>
      </w:pPr>
      <w:r>
        <w:rPr/>
        <w:br/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iCs/>
          <w:caps w:val="false"/>
          <w:smallCaps w:val="false"/>
          <w:color w:val="F8FAFF"/>
          <w:spacing w:val="0"/>
          <w:sz w:val="20"/>
          <w:szCs w:val="20"/>
        </w:rPr>
        <w:t>Tabela 7</w:t>
      </w:r>
      <w:r>
        <w:rPr>
          <w:i/>
          <w:iCs/>
        </w:rPr>
        <w:t xml:space="preserve">: 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iCs/>
          <w:caps w:val="false"/>
          <w:smallCaps w:val="false"/>
          <w:color w:val="F8FAFF"/>
          <w:spacing w:val="0"/>
          <w:sz w:val="20"/>
          <w:szCs w:val="20"/>
        </w:rPr>
        <w:t>Comparação dos Métodos de Projeção Populacional para 2050</w:t>
      </w:r>
    </w:p>
    <w:tbl>
      <w:tblPr>
        <w:tblW w:w="598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2585"/>
        <w:gridCol w:w="1384"/>
        <w:gridCol w:w="2011"/>
      </w:tblGrid>
      <w:tr>
        <w:trPr>
          <w:tblHeader w:val="true"/>
          <w:trHeight w:val="360" w:hRule="atLeast"/>
        </w:trPr>
        <w:tc>
          <w:tcPr>
            <w:tcW w:w="2585" w:type="dxa"/>
            <w:tcBorders/>
            <w:shd w:color="auto" w:fill="CFCFC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Método de Projeção</w:t>
            </w:r>
          </w:p>
        </w:tc>
        <w:tc>
          <w:tcPr>
            <w:tcW w:w="1384" w:type="dxa"/>
            <w:tcBorders/>
            <w:shd w:color="auto" w:fill="CFCFC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População Projetada 2050</w:t>
            </w:r>
          </w:p>
        </w:tc>
        <w:tc>
          <w:tcPr>
            <w:tcW w:w="2011" w:type="dxa"/>
            <w:tcBorders/>
            <w:shd w:color="auto" w:fill="CFCFC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Diferença em relação a 2022</w:t>
            </w:r>
          </w:p>
        </w:tc>
      </w:tr>
      <w:tr>
        <w:trPr>
          <w:trHeight w:val="360" w:hRule="atLeast"/>
        </w:trPr>
        <w:tc>
          <w:tcPr>
            <w:tcW w:w="2585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Aritmético</w:t>
            </w:r>
          </w:p>
        </w:tc>
        <w:tc>
          <w:tcPr>
            <w:tcW w:w="1384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9.377.984</w:t>
            </w:r>
          </w:p>
        </w:tc>
        <w:tc>
          <w:tcPr>
            <w:tcW w:w="2011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1.257.853</w:t>
            </w:r>
          </w:p>
        </w:tc>
      </w:tr>
      <w:tr>
        <w:trPr>
          <w:trHeight w:val="360" w:hRule="atLeast"/>
        </w:trPr>
        <w:tc>
          <w:tcPr>
            <w:tcW w:w="25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Geométrico</w:t>
            </w:r>
          </w:p>
        </w:tc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9.531.798</w:t>
            </w:r>
          </w:p>
        </w:tc>
        <w:tc>
          <w:tcPr>
            <w:tcW w:w="201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1.411.667</w:t>
            </w:r>
          </w:p>
        </w:tc>
      </w:tr>
      <w:tr>
        <w:trPr>
          <w:trHeight w:val="360" w:hRule="atLeast"/>
        </w:trPr>
        <w:tc>
          <w:tcPr>
            <w:tcW w:w="2585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Exponencial</w:t>
            </w:r>
          </w:p>
        </w:tc>
        <w:tc>
          <w:tcPr>
            <w:tcW w:w="1384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9.531.798</w:t>
            </w:r>
          </w:p>
        </w:tc>
        <w:tc>
          <w:tcPr>
            <w:tcW w:w="2011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1.411.667</w:t>
            </w:r>
          </w:p>
        </w:tc>
      </w:tr>
      <w:tr>
        <w:trPr>
          <w:trHeight w:val="360" w:hRule="atLeast"/>
        </w:trPr>
        <w:tc>
          <w:tcPr>
            <w:tcW w:w="25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Logístico</w:t>
            </w:r>
          </w:p>
        </w:tc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2.258.735</w:t>
            </w:r>
          </w:p>
        </w:tc>
        <w:tc>
          <w:tcPr>
            <w:tcW w:w="201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-5.861.396</w:t>
            </w:r>
          </w:p>
        </w:tc>
      </w:tr>
    </w:tbl>
    <w:p>
      <w:pPr>
        <w:pStyle w:val="BodyText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2"/>
          <w:szCs w:val="22"/>
        </w:rPr>
        <w:t xml:space="preserve">  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2"/>
          <w:szCs w:val="22"/>
        </w:rPr>
        <w:t>Os métodos aritmético, geométrico e exponencial convergem para projeções entre 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F8FAFF"/>
          <w:spacing w:val="0"/>
          <w:sz w:val="22"/>
          <w:szCs w:val="22"/>
        </w:rPr>
        <w:t>9,38 e 9,53 milhões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2"/>
          <w:szCs w:val="22"/>
        </w:rPr>
        <w:t> de habitantes em 2050, representando um acréscimo de aproximadamente 1,4 milhões de pessoas em relação a 2022. Esta variação positiva indica um crescimento populacional contínuo, porém em ritmo desacelerado quando comparado aos períodos intercensitários anteriores.</w:t>
      </w:r>
    </w:p>
    <w:p>
      <w:pPr>
        <w:pStyle w:val="BodyText"/>
        <w:widowControl/>
        <w:spacing w:lineRule="atLeast" w:line="420" w:before="195" w:after="195"/>
        <w:ind w:hanging="0"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2"/>
          <w:szCs w:val="22"/>
        </w:rPr>
        <w:t xml:space="preserve">  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2"/>
          <w:szCs w:val="22"/>
        </w:rPr>
        <w:t>O 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F8FAFF"/>
          <w:spacing w:val="0"/>
          <w:sz w:val="22"/>
          <w:szCs w:val="22"/>
        </w:rPr>
        <w:t>método logístico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2"/>
          <w:szCs w:val="22"/>
        </w:rPr>
        <w:t>, entretanto, apresenta resultado atípico e inconsistentente com a trajetória histórica, projetando apenas 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F8FAFF"/>
          <w:spacing w:val="0"/>
          <w:sz w:val="22"/>
          <w:szCs w:val="22"/>
        </w:rPr>
        <w:t>2,26 milhões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2"/>
          <w:szCs w:val="22"/>
        </w:rPr>
        <w:t> de habitantes. Esta discrepância sugere possíveis limitações na aplicação do modelo logístico aos dados disponíveis, possivelmente relacionadas à necessidade de três pontos equidistantes (2000, 2010, 2020) e à qualidade da retroprojeção para 2020.</w:t>
      </w:r>
    </w:p>
    <w:p>
      <w:pPr>
        <w:pStyle w:val="BodyText"/>
        <w:spacing w:lineRule="auto" w:line="259" w:before="0" w:after="160"/>
        <w:jc w:val="center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/>
          <w:iCs/>
          <w:caps w:val="false"/>
          <w:smallCaps w:val="false"/>
          <w:color w:val="F8FAFF"/>
          <w:spacing w:val="0"/>
          <w:sz w:val="20"/>
          <w:szCs w:val="20"/>
        </w:rPr>
        <w:t xml:space="preserve">Tabela 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/>
          <w:iCs/>
          <w:caps w:val="false"/>
          <w:smallCaps w:val="false"/>
          <w:color w:val="F8FAFF"/>
          <w:spacing w:val="0"/>
          <w:sz w:val="20"/>
          <w:szCs w:val="20"/>
        </w:rPr>
        <w:t>8</w:t>
      </w:r>
      <w:r>
        <w:rPr>
          <w:i/>
          <w:iCs/>
        </w:rPr>
        <w:t xml:space="preserve">: 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/>
          <w:iCs/>
          <w:caps w:val="false"/>
          <w:smallCaps w:val="false"/>
          <w:color w:val="F8FAFF"/>
          <w:spacing w:val="0"/>
          <w:sz w:val="20"/>
          <w:szCs w:val="20"/>
        </w:rPr>
        <w:t>Projeção Populacional por Sexo para 2050 (Método Geométrico)</w:t>
      </w:r>
    </w:p>
    <w:tbl>
      <w:tblPr>
        <w:tblW w:w="556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985"/>
        <w:gridCol w:w="1638"/>
        <w:gridCol w:w="1939"/>
      </w:tblGrid>
      <w:tr>
        <w:trPr>
          <w:tblHeader w:val="true"/>
          <w:trHeight w:val="360" w:hRule="atLeast"/>
        </w:trPr>
        <w:tc>
          <w:tcPr>
            <w:tcW w:w="1985" w:type="dxa"/>
            <w:tcBorders/>
            <w:shd w:color="auto" w:fill="CFCFC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Sexo</w:t>
            </w:r>
          </w:p>
        </w:tc>
        <w:tc>
          <w:tcPr>
            <w:tcW w:w="1638" w:type="dxa"/>
            <w:tcBorders/>
            <w:shd w:color="auto" w:fill="CFCFC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População Projectada 2050</w:t>
            </w:r>
          </w:p>
        </w:tc>
        <w:tc>
          <w:tcPr>
            <w:tcW w:w="1939" w:type="dxa"/>
            <w:tcBorders/>
            <w:shd w:color="auto" w:fill="CFCFC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Proporção (%)</w:t>
            </w:r>
          </w:p>
        </w:tc>
      </w:tr>
      <w:tr>
        <w:trPr>
          <w:trHeight w:val="360" w:hRule="atLeast"/>
        </w:trPr>
        <w:tc>
          <w:tcPr>
            <w:tcW w:w="1985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Homens</w:t>
            </w:r>
          </w:p>
        </w:tc>
        <w:tc>
          <w:tcPr>
            <w:tcW w:w="1638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4.643.687</w:t>
            </w:r>
          </w:p>
        </w:tc>
        <w:tc>
          <w:tcPr>
            <w:tcW w:w="1939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48,69778</w:t>
            </w:r>
          </w:p>
        </w:tc>
      </w:tr>
      <w:tr>
        <w:trPr>
          <w:trHeight w:val="360" w:hRule="atLeast"/>
        </w:trPr>
        <w:tc>
          <w:tcPr>
            <w:tcW w:w="19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Mulheres</w:t>
            </w:r>
          </w:p>
        </w:tc>
        <w:tc>
          <w:tcPr>
            <w:tcW w:w="163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4.892.038</w:t>
            </w:r>
          </w:p>
        </w:tc>
        <w:tc>
          <w:tcPr>
            <w:tcW w:w="193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51,30222</w:t>
            </w:r>
          </w:p>
        </w:tc>
      </w:tr>
      <w:tr>
        <w:trPr>
          <w:trHeight w:val="360" w:hRule="atLeast"/>
        </w:trPr>
        <w:tc>
          <w:tcPr>
            <w:tcW w:w="1985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</w:t>
            </w:r>
          </w:p>
        </w:tc>
        <w:tc>
          <w:tcPr>
            <w:tcW w:w="1638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9.535.725</w:t>
            </w:r>
          </w:p>
        </w:tc>
        <w:tc>
          <w:tcPr>
            <w:tcW w:w="1939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  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A projeção por sexo, baseada no método geométrico, indica a manutenção da tendência de predominância feminina na população paraense, com as mulheres representando 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51,3%</w:t>
      </w:r>
      <w:r>
        <w:rPr>
          <w:rFonts w:cs="Times New Roman" w:ascii="Times New Roman" w:hAnsi="Times New Roman"/>
          <w:caps w:val="false"/>
          <w:smallCaps w:val="false"/>
          <w:color w:val="F8FAFF"/>
          <w:spacing w:val="0"/>
          <w:sz w:val="24"/>
          <w:szCs w:val="24"/>
        </w:rPr>
        <w:t> 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do total projetado para 2050. A razão de sexo projetada de aproximadamente </w:t>
      </w:r>
      <w:r>
        <w:rPr>
          <w:rStyle w:val="Strong"/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94,9 homens para cada 100 mulheres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, acentuando a tendência já observada no Censo 2022.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t xml:space="preserve">  </w:t>
      </w:r>
      <w:r>
        <w:rPr>
          <w:i/>
          <w:iCs/>
        </w:rPr>
        <w:t xml:space="preserve">Figura </w:t>
      </w:r>
      <w:r>
        <w:rPr>
          <w:i/>
          <w:iCs/>
        </w:rPr>
        <w:t>4</w:t>
      </w:r>
      <w:r>
        <w:rPr>
          <w:i/>
          <w:iCs/>
        </w:rPr>
        <w:t xml:space="preserve">: </w:t>
      </w:r>
      <w:r>
        <w:rPr>
          <w:i/>
          <w:iCs/>
        </w:rPr>
        <w:t>Séries temporais 2000 à 2050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3145" cy="284289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284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i/>
          <w:iCs/>
        </w:rPr>
        <w:t xml:space="preserve">Figura </w:t>
      </w:r>
      <w:r>
        <w:rPr>
          <w:i/>
          <w:iCs/>
        </w:rPr>
        <w:t>5</w:t>
      </w:r>
      <w:r>
        <w:rPr>
          <w:i/>
          <w:iCs/>
        </w:rPr>
        <w:t xml:space="preserve">: </w:t>
      </w:r>
      <w:r>
        <w:rPr>
          <w:i/>
          <w:iCs/>
        </w:rPr>
        <w:t xml:space="preserve">Comparação </w:t>
      </w:r>
      <w:r>
        <w:rPr>
          <w:i/>
          <w:iCs/>
        </w:rPr>
        <w:t xml:space="preserve">dos métodos de projeção populacional </w:t>
      </w:r>
      <w:r>
        <w:rPr>
          <w:i/>
          <w:iCs/>
        </w:rPr>
        <w:t>em</w:t>
      </w:r>
      <w:r>
        <w:rPr>
          <w:i/>
          <w:iCs/>
        </w:rPr>
        <w:t xml:space="preserve"> 2050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878840</wp:posOffset>
            </wp:positionH>
            <wp:positionV relativeFrom="paragraph">
              <wp:posOffset>174625</wp:posOffset>
            </wp:positionV>
            <wp:extent cx="3661410" cy="291211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291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BodyText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  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A Figura 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5 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 xml:space="preserve">(gráfico de barras) evidencia visualmente a concordância entre os métodos aritmético, geométrico e exponencial, enquanto a Figura 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4</w:t>
      </w:r>
      <w:r>
        <w:rPr>
          <w:rFonts w:cs="Times New Roman" w:ascii="Times New Roman;serif" w:hAnsi="Times New Roman;serif"/>
          <w:caps w:val="false"/>
          <w:smallCaps w:val="false"/>
          <w:color w:val="F8FAFF"/>
          <w:spacing w:val="0"/>
          <w:sz w:val="24"/>
          <w:szCs w:val="24"/>
        </w:rPr>
        <w:t xml:space="preserve"> </w:t>
      </w:r>
      <w:r>
        <w:rPr>
          <w:rFonts w:cs="Times New Roman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8FAFF"/>
          <w:spacing w:val="0"/>
          <w:sz w:val="24"/>
          <w:szCs w:val="24"/>
        </w:rPr>
        <w:t>(séries temporais) demonstra a trajetória de crescimento projetada entre 2022 e 2050. Onde o método logístico se mostrou inconsistente, como explicado anteriormente.</w:t>
      </w:r>
    </w:p>
    <w:p>
      <w:pPr>
        <w:pStyle w:val="TableCaption"/>
        <w:keepNext w:val="true"/>
        <w:pBdr/>
        <w:spacing w:lineRule="auto" w:line="240" w:before="60" w:after="60"/>
        <w:ind w:hanging="0" w:left="0" w:right="60"/>
        <w:jc w:val="center"/>
        <w:rPr/>
      </w:pPr>
      <w:r>
        <w:rPr/>
      </w:r>
    </w:p>
    <w:p>
      <w:pPr>
        <w:pStyle w:val="TableCaption"/>
        <w:pBdr/>
        <w:spacing w:lineRule="auto" w:line="240" w:before="60" w:after="60"/>
        <w:ind w:hanging="0" w:left="0" w:right="60"/>
        <w:jc w:val="center"/>
        <w:rPr/>
      </w:pPr>
      <w:r>
        <w:rPr/>
        <w:t xml:space="preserve">Tabela </w:t>
      </w:r>
      <w:r>
        <w:rPr/>
        <w:t>9</w:t>
      </w:r>
      <w:r>
        <w:rPr/>
        <w:t xml:space="preserve">: </w:t>
      </w:r>
      <w:r>
        <w:rPr/>
        <w:t>Cálculo M</w:t>
      </w:r>
      <w:r>
        <w:rPr/>
        <w:t>étodo Aritmético</w:t>
      </w:r>
    </w:p>
    <w:tbl>
      <w:tblPr>
        <w:tblW w:w="904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419"/>
        <w:gridCol w:w="4742"/>
        <w:gridCol w:w="2881"/>
      </w:tblGrid>
      <w:tr>
        <w:trPr>
          <w:tblHeader w:val="true"/>
          <w:trHeight w:val="360" w:hRule="atLeast"/>
        </w:trPr>
        <w:tc>
          <w:tcPr>
            <w:tcW w:w="14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18"/>
                <w:szCs w:val="18"/>
                <w:u w:val="none"/>
              </w:rPr>
              <w:t>Fórmula</w:t>
            </w:r>
          </w:p>
        </w:tc>
        <w:tc>
          <w:tcPr>
            <w:tcW w:w="47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18"/>
                <w:szCs w:val="18"/>
                <w:u w:val="none"/>
              </w:rPr>
              <w:t>Cálculo da taxa (r)</w:t>
            </w:r>
          </w:p>
        </w:tc>
        <w:tc>
          <w:tcPr>
            <w:tcW w:w="288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18"/>
                <w:szCs w:val="18"/>
                <w:u w:val="none"/>
              </w:rPr>
              <w:t>Projeção 2050</w:t>
            </w:r>
          </w:p>
        </w:tc>
      </w:tr>
      <w:tr>
        <w:trPr>
          <w:trHeight w:val="360" w:hRule="atLeast"/>
        </w:trPr>
        <w:tc>
          <w:tcPr>
            <w:tcW w:w="14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18"/>
                <w:szCs w:val="18"/>
                <w:u w:val="none"/>
              </w:rPr>
              <w:t>Pₜ = P₀ + r × t</w:t>
            </w:r>
          </w:p>
        </w:tc>
        <w:tc>
          <w:tcPr>
            <w:tcW w:w="47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18"/>
                <w:szCs w:val="18"/>
                <w:u w:val="none"/>
              </w:rPr>
              <w:t>r = (8.120.131 - 7.581.051) / 12 = 44.923,33 hab/ano</w:t>
            </w:r>
          </w:p>
        </w:tc>
        <w:tc>
          <w:tcPr>
            <w:tcW w:w="288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18"/>
                <w:szCs w:val="18"/>
                <w:u w:val="none"/>
              </w:rPr>
              <w:t>P₂₀₅₀ = 8.120.131 + 44.923,33 × 28 = 9.377.984 hab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ableCaption"/>
        <w:keepNext w:val="true"/>
        <w:pBdr/>
        <w:spacing w:lineRule="auto" w:line="240" w:before="60" w:after="60"/>
        <w:ind w:hanging="0" w:left="60" w:right="60"/>
        <w:jc w:val="center"/>
        <w:rPr/>
      </w:pPr>
      <w:r>
        <w:rPr/>
        <w:t xml:space="preserve">Tabela </w:t>
      </w:r>
      <w:r>
        <w:rPr/>
        <w:t>10</w:t>
      </w:r>
      <w:r>
        <w:rPr/>
        <w:t xml:space="preserve">: </w:t>
      </w:r>
      <w:r>
        <w:rPr/>
        <w:t>Cálculo M</w:t>
      </w:r>
      <w:r>
        <w:rPr/>
        <w:t>étodo Geométrico</w:t>
      </w:r>
    </w:p>
    <w:tbl>
      <w:tblPr>
        <w:tblW w:w="867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638"/>
        <w:gridCol w:w="4143"/>
        <w:gridCol w:w="2895"/>
      </w:tblGrid>
      <w:tr>
        <w:trPr>
          <w:tblHeader w:val="true"/>
          <w:trHeight w:val="360" w:hRule="atLeast"/>
        </w:trPr>
        <w:tc>
          <w:tcPr>
            <w:tcW w:w="163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18"/>
                <w:szCs w:val="18"/>
                <w:u w:val="none"/>
              </w:rPr>
              <w:t>Fórmula</w:t>
            </w:r>
          </w:p>
        </w:tc>
        <w:tc>
          <w:tcPr>
            <w:tcW w:w="41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18"/>
                <w:szCs w:val="18"/>
                <w:u w:val="none"/>
              </w:rPr>
              <w:t>Cálculo da taxa (i)</w:t>
            </w:r>
          </w:p>
        </w:tc>
        <w:tc>
          <w:tcPr>
            <w:tcW w:w="28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18"/>
                <w:szCs w:val="18"/>
                <w:u w:val="none"/>
              </w:rPr>
              <w:t>Projeção 2050</w:t>
            </w:r>
          </w:p>
        </w:tc>
      </w:tr>
      <w:tr>
        <w:trPr>
          <w:trHeight w:val="360" w:hRule="atLeast"/>
        </w:trPr>
        <w:tc>
          <w:tcPr>
            <w:tcW w:w="163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18"/>
                <w:szCs w:val="18"/>
                <w:u w:val="none"/>
              </w:rPr>
              <w:t>Pₜ = P₀ × (1 + i)ᵗ</w:t>
            </w:r>
          </w:p>
        </w:tc>
        <w:tc>
          <w:tcPr>
            <w:tcW w:w="41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18"/>
                <w:szCs w:val="18"/>
                <w:u w:val="none"/>
              </w:rPr>
              <w:t>i = (8.120.131/7.581.051)^(1/12) - 1 = 0,0057 (0,57% a.a.)</w:t>
            </w:r>
          </w:p>
        </w:tc>
        <w:tc>
          <w:tcPr>
            <w:tcW w:w="28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18"/>
                <w:szCs w:val="18"/>
                <w:u w:val="none"/>
              </w:rPr>
              <w:t>P₂₀₅₀ = 8.120.131 × (1,0057)²⁸ = 9.531.798 hab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ableCaption"/>
        <w:keepNext w:val="true"/>
        <w:pBdr/>
        <w:spacing w:lineRule="auto" w:line="240" w:before="60" w:after="60"/>
        <w:ind w:hanging="0" w:left="60" w:right="60"/>
        <w:jc w:val="center"/>
        <w:rPr/>
      </w:pPr>
      <w:r>
        <w:rPr/>
        <w:t xml:space="preserve">Tabela </w:t>
      </w:r>
      <w:r>
        <w:rPr/>
        <w:t>11</w:t>
      </w:r>
      <w:r>
        <w:rPr/>
        <w:t xml:space="preserve">: </w:t>
      </w:r>
      <w:r>
        <w:rPr/>
        <w:t>Cálculo M</w:t>
      </w:r>
      <w:r>
        <w:rPr/>
        <w:t>étodo Exponencial</w:t>
      </w:r>
    </w:p>
    <w:tbl>
      <w:tblPr>
        <w:tblW w:w="951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985"/>
        <w:gridCol w:w="4246"/>
        <w:gridCol w:w="3288"/>
      </w:tblGrid>
      <w:tr>
        <w:trPr>
          <w:tblHeader w:val="true"/>
          <w:trHeight w:val="360" w:hRule="atLeast"/>
        </w:trPr>
        <w:tc>
          <w:tcPr>
            <w:tcW w:w="19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18"/>
                <w:szCs w:val="18"/>
                <w:u w:val="none"/>
              </w:rPr>
              <w:t>Fórmula</w:t>
            </w:r>
          </w:p>
        </w:tc>
        <w:tc>
          <w:tcPr>
            <w:tcW w:w="42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18"/>
                <w:szCs w:val="18"/>
                <w:u w:val="none"/>
              </w:rPr>
              <w:t>Cálculo da taxa (k)</w:t>
            </w:r>
          </w:p>
        </w:tc>
        <w:tc>
          <w:tcPr>
            <w:tcW w:w="3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18"/>
                <w:szCs w:val="18"/>
                <w:u w:val="none"/>
              </w:rPr>
              <w:t>Projeção 2050</w:t>
            </w:r>
          </w:p>
        </w:tc>
      </w:tr>
      <w:tr>
        <w:trPr>
          <w:trHeight w:val="360" w:hRule="atLeast"/>
        </w:trPr>
        <w:tc>
          <w:tcPr>
            <w:tcW w:w="19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18"/>
                <w:szCs w:val="18"/>
                <w:u w:val="none"/>
              </w:rPr>
              <w:t>Pₜ = P₀ × e^(k × t)</w:t>
            </w:r>
          </w:p>
        </w:tc>
        <w:tc>
          <w:tcPr>
            <w:tcW w:w="42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18"/>
                <w:szCs w:val="18"/>
                <w:u w:val="none"/>
              </w:rPr>
              <w:t>k = (ln(8.120.131) - ln(7.581.051)) / 12 = 0,00558</w:t>
            </w:r>
          </w:p>
        </w:tc>
        <w:tc>
          <w:tcPr>
            <w:tcW w:w="3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18"/>
                <w:szCs w:val="18"/>
                <w:u w:val="none"/>
              </w:rPr>
              <w:t>P₂₀₅₀ = 8.120.131 × e^(0,00558 × 28) = 9.531.798 hab</w:t>
            </w:r>
          </w:p>
        </w:tc>
      </w:tr>
    </w:tbl>
    <w:p>
      <w:pPr>
        <w:pStyle w:val="Normal"/>
        <w:pBdr/>
        <w:spacing w:lineRule="auto" w:line="240" w:before="60" w:after="60"/>
        <w:ind w:hanging="0" w:left="60" w:right="60"/>
        <w:jc w:val="center"/>
        <w:rPr/>
      </w:pPr>
      <w:r>
        <w:rPr/>
      </w:r>
    </w:p>
    <w:p>
      <w:pPr>
        <w:pStyle w:val="TableCaption"/>
        <w:keepNext w:val="true"/>
        <w:pBdr/>
        <w:spacing w:lineRule="auto" w:line="240" w:before="60" w:after="60"/>
        <w:ind w:hanging="0" w:left="60" w:right="60"/>
        <w:jc w:val="center"/>
        <w:rPr/>
      </w:pPr>
      <w:r>
        <w:rPr/>
        <w:t xml:space="preserve">Tabela </w:t>
      </w:r>
      <w:r>
        <w:rPr/>
        <w:t>12</w:t>
      </w:r>
      <w:r>
        <w:rPr/>
        <w:t xml:space="preserve">: </w:t>
      </w:r>
      <w:r>
        <w:rPr/>
        <w:t>Cálculo M</w:t>
      </w:r>
      <w:r>
        <w:rPr/>
        <w:t>étodo Logístico</w:t>
      </w:r>
    </w:p>
    <w:tbl>
      <w:tblPr>
        <w:tblW w:w="1008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2879"/>
        <w:gridCol w:w="4321"/>
        <w:gridCol w:w="2880"/>
      </w:tblGrid>
      <w:tr>
        <w:trPr>
          <w:tblHeader w:val="true"/>
          <w:trHeight w:val="360" w:hRule="atLeast"/>
        </w:trPr>
        <w:tc>
          <w:tcPr>
            <w:tcW w:w="28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18"/>
                <w:szCs w:val="18"/>
                <w:u w:val="none"/>
              </w:rPr>
              <w:t>Fórmula</w:t>
            </w:r>
          </w:p>
        </w:tc>
        <w:tc>
          <w:tcPr>
            <w:tcW w:w="432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18"/>
                <w:szCs w:val="18"/>
                <w:u w:val="none"/>
              </w:rPr>
              <w:t>População 2020 (estimada)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18"/>
                <w:szCs w:val="18"/>
                <w:u w:val="none"/>
              </w:rPr>
              <w:t>Projeção 2050</w:t>
            </w:r>
          </w:p>
        </w:tc>
      </w:tr>
      <w:tr>
        <w:trPr>
          <w:trHeight w:val="360" w:hRule="atLeast"/>
        </w:trPr>
        <w:tc>
          <w:tcPr>
            <w:tcW w:w="28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18"/>
                <w:szCs w:val="18"/>
                <w:u w:val="none"/>
              </w:rPr>
              <w:t>Pₜ = K / (1 + a × bᵗ)</w:t>
            </w:r>
          </w:p>
        </w:tc>
        <w:tc>
          <w:tcPr>
            <w:tcW w:w="432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18"/>
                <w:szCs w:val="18"/>
                <w:u w:val="none"/>
              </w:rPr>
              <w:t>P₂₀₂₀ = 7.581.051 × (8.120.131/7.581.051)^(10/12) = 8.024.000 hab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100" w:after="100"/>
              <w:ind w:hanging="0" w:left="100" w:right="10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18"/>
                <w:szCs w:val="18"/>
                <w:u w:val="none"/>
              </w:rPr>
              <w:t>P₂₀₅₀ = 2.258.735 hab</w:t>
            </w:r>
          </w:p>
        </w:tc>
      </w:tr>
    </w:tbl>
    <w:p>
      <w:pPr>
        <w:pStyle w:val="Normal"/>
        <w:pBdr/>
        <w:spacing w:lineRule="auto" w:line="240" w:before="60" w:after="60"/>
        <w:ind w:hanging="0" w:left="60" w:right="60"/>
        <w:jc w:val="center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CONCLUSÃO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Times New Roman" w:hAnsi="Times New Roman"/>
          <w:color w:val="0070C0"/>
          <w:sz w:val="24"/>
          <w:szCs w:val="24"/>
        </w:rPr>
        <w:t>Exposição com base nos resultados obtidos, evitando-se a simples repetição do que já foi apresentado nas discussões. Na elaboração desta seção, convém retomar os objetivos de modo a evidenciar se foram ou não alcançados, apresentando os possíveis desdobramentos do estudo.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REFERÊNCIAS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/>
      </w:r>
    </w:p>
    <w:sectPr>
      <w:footnotePr>
        <w:numFmt w:val="decimal"/>
      </w:footnote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quote-cjk-patch">
    <w:altName w:val="Inter"/>
    <w:charset w:val="00"/>
    <w:family w:val="auto"/>
    <w:pitch w:val="default"/>
  </w:font>
  <w:font w:name="Calibri">
    <w:charset w:val="01"/>
    <w:family w:val="swiss"/>
    <w:pitch w:val="variable"/>
  </w:font>
  <w:font w:name="Arial">
    <w:charset w:val="00"/>
    <w:family w:val="roman"/>
    <w:pitch w:val="variable"/>
  </w:font>
  <w:font w:name="Times New Roman">
    <w:altName w:val="serif"/>
    <w:charset w:val="00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jc w:val="both"/>
        <w:rPr>
          <w:rFonts w:ascii="Times New Roman" w:hAnsi="Times New Roman" w:cs="Times New Roman"/>
        </w:rPr>
      </w:pPr>
      <w:r>
        <w:rPr>
          <w:rStyle w:val="Caracteresdenotaderodap"/>
        </w:rPr>
        <w:footnoteRef/>
      </w:r>
      <w:r>
        <w:rPr/>
      </w:r>
    </w:p>
  </w:footnote>
</w:footnotes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83391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uiPriority w:val="99"/>
    <w:qFormat/>
    <w:rsid w:val="00e37c4d"/>
    <w:rPr>
      <w:sz w:val="20"/>
      <w:szCs w:val="20"/>
    </w:rPr>
  </w:style>
  <w:style w:type="character" w:styleId="Caracteresdenotaderodapuser">
    <w:name w:val="Caracteres de nota de rodapé (user)"/>
    <w:basedOn w:val="DefaultParagraphFont"/>
    <w:uiPriority w:val="99"/>
    <w:semiHidden/>
    <w:unhideWhenUsed/>
    <w:qFormat/>
    <w:rsid w:val="00e37c4d"/>
    <w:rPr>
      <w:vertAlign w:val="superscript"/>
    </w:rPr>
  </w:style>
  <w:style w:type="character" w:styleId="Caracteresdenotaderodap">
    <w:name w:val="Caracteres de nota de rodapé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601b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601b3"/>
    <w:rPr>
      <w:color w:val="605E5C"/>
      <w:shd w:fill="E1DFDD" w:val="clear"/>
    </w:rPr>
  </w:style>
  <w:style w:type="character" w:styleId="Ttulo1Char" w:customStyle="1">
    <w:name w:val="Título 1 Char"/>
    <w:basedOn w:val="DefaultParagraphFont"/>
    <w:uiPriority w:val="9"/>
    <w:qFormat/>
    <w:rsid w:val="00833910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0051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00813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semiHidden/>
    <w:qFormat/>
    <w:rsid w:val="00e00813"/>
    <w:rPr>
      <w:sz w:val="20"/>
      <w:szCs w:val="20"/>
    </w:rPr>
  </w:style>
  <w:style w:type="character" w:styleId="Caracteresdenotadefim">
    <w:name w:val="Caracteres de nota de fim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Caracteresdenotadefimuser">
    <w:name w:val="Caracteres de nota de fim (user)"/>
    <w:qFormat/>
    <w:rPr/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FootnoteText">
    <w:name w:val="footnote text"/>
    <w:basedOn w:val="Normal"/>
    <w:link w:val="TextodenotaderodapChar"/>
    <w:uiPriority w:val="99"/>
    <w:unhideWhenUsed/>
    <w:rsid w:val="00e37c4d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fd2b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f171b7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0051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TextodecomentrioChar"/>
    <w:uiPriority w:val="99"/>
    <w:semiHidden/>
    <w:unhideWhenUsed/>
    <w:rsid w:val="00e00813"/>
    <w:pPr>
      <w:spacing w:lineRule="auto" w:line="240" w:before="0" w:after="100"/>
    </w:pPr>
    <w:rPr>
      <w:sz w:val="20"/>
      <w:szCs w:val="20"/>
    </w:rPr>
  </w:style>
  <w:style w:type="paragraph" w:styleId="Default" w:customStyle="1">
    <w:name w:val="Default"/>
    <w:qFormat/>
    <w:rsid w:val="00246a7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t-BR" w:eastAsia="en-US" w:bidi="ar-SA"/>
    </w:rPr>
  </w:style>
  <w:style w:type="paragraph" w:styleId="ImageCaption">
    <w:name w:val="Image Caption"/>
    <w:basedOn w:val="Normal"/>
    <w:qFormat/>
    <w:pPr>
      <w:jc w:val="center"/>
    </w:pPr>
    <w:rPr>
      <w:b/>
      <w:i/>
    </w:rPr>
  </w:style>
  <w:style w:type="paragraph" w:styleId="TableCaption">
    <w:name w:val="Table Caption"/>
    <w:basedOn w:val="ImageCaption"/>
    <w:qFormat/>
    <w:pPr/>
    <w:rPr/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c07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notes" Target="footnotes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AF5B5-A7C5-489F-AE8F-0F9EF021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Application>LibreOffice/25.2.5.2$Windows_X86_64 LibreOffice_project/03d19516eb2e1dd5d4ccd751a0d6f35f35e08022</Application>
  <AppVersion>15.0000</AppVersion>
  <Pages>8</Pages>
  <Words>1279</Words>
  <Characters>6904</Characters>
  <CharactersWithSpaces>8025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2022-09-01T12:48:00Z</dcterms:created>
  <dc:creator>Dell</dc:creator>
  <dc:description/>
  <dc:language>pt-BR</dc:language>
  <cp:lastModifiedBy/>
  <cp:lastPrinted>2021-09-10T01:57:00Z</cp:lastPrinted>
  <dcterms:modified xsi:type="dcterms:W3CDTF">2025-08-31T12:23:37Z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