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300"/>
        <w:jc w:val="center"/>
      </w:pPr>
      <w:r>
        <w:rPr>
          <w:rFonts w:ascii="Aptos" w:hAnsi="Aptos"/>
          <w:b/>
          <w:color w:val="9A6A18"/>
          <w:sz w:val="20"/>
        </w:rPr>
        <w:t>RESEARCH &amp; DEVELOPMENT REVIEW</w:t>
      </w:r>
    </w:p>
    <w:p>
      <w:pPr>
        <w:pStyle w:val="Title"/>
        <w:jc w:val="center"/>
      </w:pPr>
      <w:r>
        <w:t>Sucrose-Assisted Solution Combustion Synthesis of a Multicomponent Metal-Oxide Nanofertilizer</w:t>
      </w:r>
    </w:p>
    <w:p>
      <w:pPr>
        <w:pStyle w:val="Subtitle"/>
        <w:jc w:val="center"/>
      </w:pPr>
      <w:r>
        <w:t>A safety-gated synthesis strategy, suspension-development plan, urea integration pathway, plant-use protocol, and annotated evidence review</w:t>
      </w:r>
    </w:p>
    <w:p>
      <w:pPr>
        <w:spacing w:before="760"/>
        <w:jc w:val="center"/>
      </w:pPr>
      <w:r>
        <w:rPr>
          <w:rFonts w:ascii="Aptos" w:hAnsi="Aptos"/>
          <w:b/>
          <w:color w:val="2A7F79"/>
          <w:sz w:val="20"/>
        </w:rPr>
        <w:t>Target precursor system</w:t>
      </w:r>
    </w:p>
    <w:p>
      <w:pPr>
        <w:jc w:val="center"/>
      </w:pPr>
      <w:r>
        <w:t>Mg, Fe, Zn, Cu, Ca and Mn nitrates • sucrose fuel • ammonium nitrate considered separately</w:t>
      </w:r>
    </w:p>
    <w:p>
      <w:pPr>
        <w:spacing w:before="1100"/>
        <w:jc w:val="center"/>
      </w:pPr>
      <w:r>
        <w:rPr>
          <w:rFonts w:ascii="Aptos" w:hAnsi="Aptos"/>
          <w:i/>
          <w:color w:val="5E6A70"/>
          <w:sz w:val="20"/>
        </w:rPr>
        <w:t>Prepared as an independent technical review and experimental planning document</w:t>
      </w:r>
    </w:p>
    <w:p>
      <w:r>
        <w:br w:type="page"/>
      </w:r>
    </w:p>
    <w:p>
      <w:pPr>
        <w:pStyle w:val="Title"/>
      </w:pPr>
      <w:r>
        <w:t>Executive conclusion</w:t>
      </w:r>
    </w:p>
    <w:tbl>
      <w:tblPr>
        <w:tblW w:type="dxa" w:w="9360"/>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EF5F4"/>
          </w:tcPr>
          <w:p>
            <w:r>
              <w:rPr>
                <w:rFonts w:ascii="Aptos" w:hAnsi="Aptos"/>
                <w:b/>
                <w:color w:val="2A7F79"/>
                <w:sz w:val="18"/>
              </w:rPr>
              <w:t xml:space="preserve">RECOMMENDED DEVELOPMENT ROUTE  </w:t>
            </w:r>
            <w:r>
              <w:rPr>
                <w:rFonts w:ascii="Aptos" w:hAnsi="Aptos"/>
                <w:color w:val="183642"/>
                <w:sz w:val="20"/>
              </w:rPr>
              <w:t>Prepare and validate the metal-oxide composite without added ammonium nitrate; quantify composition and dissolution; formulate it as a redispersible suspension; store urea separately and combine only at application during early trials. A coated-urea product should be a later, separately optimized formulation.</w:t>
            </w:r>
          </w:p>
        </w:tc>
      </w:tr>
    </w:tbl>
    <w:p>
      <w:pPr>
        <w:spacing w:after="0"/>
      </w:pPr>
    </w:p>
    <w:p>
      <w:r>
        <w:t>The proposed precursor set can produce a nanostructured multicomponent oxide, but the result cannot be assumed to be a physical mixture of MgO, Fe2O3, ZnO, CuO, CaO and MnO2. In one-pot SCS, Fe and divalent metals can form ferrites or spinel solid solutions; manganese oxidation state is atmosphere- and thermal-history-dependent; calcium may remain as CaO, CaCO3, calcium ferrite, or an amorphous phase. Therefore, the word nanofertilizer is justified only after phase, size, elemental-release, plant-response, and safety evidence are obtained.</w:t>
      </w:r>
    </w:p>
    <w:p>
      <w:r>
        <w:t>There is no universal ideal ratio. Crop, soil pH, baseline nutrient status, irrigation chemistry, application route, particle dissolution, and regulatory limits determine the acceptable dose. The provisional cation design below is a starting point for screening, not a commercial formula. Copper is intentionally kept very low because the distance between deficiency correction and toxicity can be narrow.</w:t>
      </w:r>
    </w:p>
    <w:tbl>
      <w:tblPr>
        <w:tblW w:type="dxa" w:w="9360"/>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CECEC"/>
          </w:tcPr>
          <w:p>
            <w:r>
              <w:rPr>
                <w:rFonts w:ascii="Aptos" w:hAnsi="Aptos"/>
                <w:b/>
                <w:color w:val="9B2C2C"/>
                <w:sz w:val="18"/>
              </w:rPr>
              <w:t xml:space="preserve">CRITICAL SAFETY BOUNDARY  </w:t>
            </w:r>
            <w:r>
              <w:rPr>
                <w:rFonts w:ascii="Aptos" w:hAnsi="Aptos"/>
                <w:color w:val="183642"/>
                <w:sz w:val="20"/>
              </w:rPr>
              <w:t>Metal nitrates, sucrose, and especially ammonium nitrate form an energetic oxidizer-fuel system. This document does not provide batch masses, an ignition temperature, or a scale-up recipe. Work requires institutional approval, compatible equipment, remote operation, calorimetry, ventilation, and a process-hazard review. Never heat a sealed or confined nitrate-fuel mixture.</w:t>
            </w:r>
          </w:p>
        </w:tc>
      </w:tr>
    </w:tbl>
    <w:p>
      <w:pPr>
        <w:spacing w:after="0"/>
      </w:pPr>
    </w:p>
    <w:p>
      <w:pPr>
        <w:pStyle w:val="Heading1"/>
      </w:pPr>
      <w:r>
        <w:t>1. Scope, research questions, and claims</w:t>
      </w:r>
    </w:p>
    <w:p>
      <w:r>
        <w:t>This review addresses four linked questions: how to develop the composite by SCS; how to decide whether the product is truly nanoscale and agronomically usable; how to formulate a 20 wt% suspension; and whether to apply it alone, with urea, or as a coating. It deliberately distinguishes material synthesis from fertilizer validation. Successful combustion is not evidence of fertilizer efficacy.</w:t>
      </w:r>
    </w:p>
    <w:p>
      <w:pPr>
        <w:pStyle w:val="ListBullet"/>
      </w:pPr>
      <w:r>
        <w:t>Primary product claim to test: a redispersible, compositionally controlled micronutrient/secondary-nutrient oxide suspension that improves nutrient status without phytotoxicity.</w:t>
      </w:r>
    </w:p>
    <w:p>
      <w:pPr>
        <w:pStyle w:val="ListBullet"/>
      </w:pPr>
      <w:r>
        <w:t>Secondary claim to test: point-of-use co-application with urea improves nitrogen-use efficiency or biomass relative to equal nutrient doses applied separately.</w:t>
      </w:r>
    </w:p>
    <w:p>
      <w:pPr>
        <w:pStyle w:val="ListBullet"/>
      </w:pPr>
      <w:r>
        <w:t>Claims not yet supported: controlled release, superior yield, environmental safety, foliar suitability, or “nano” status of every phase.</w:t>
      </w:r>
    </w:p>
    <w:p>
      <w:pPr>
        <w:pStyle w:val="Heading1"/>
      </w:pPr>
      <w:r>
        <w:t>2. Chemical design of the multication composite</w:t>
      </w:r>
    </w:p>
    <w:p>
      <w:pPr>
        <w:pStyle w:val="Heading2"/>
      </w:pPr>
      <w:r>
        <w:t>2.1 Expected phase chemistry</w:t>
      </w:r>
    </w:p>
    <w:p>
      <w:r>
        <w:t>The target is chemically more complicated than a premix of isolated oxides. Fe(III) favors spinel ferrites with Mg, Zn, Cu and Mn. A single broad XRD pattern may conceal multiple nanocrystalline phases; an apparently single phase can also have nonuniform elemental distribution. Calcium is less easily incorporated into ordinary spinel ferrites and may segregate. Post-combustion exposure to air and carbon dioxide can carbonate CaO. Because nutrient release depends on phase identity, the phase assemblage is a formulation variable, not merely a characterization result.</w:t>
      </w:r>
    </w:p>
    <w:tbl>
      <w:tblPr>
        <w:tblW w:type="dxa" w:w="9360"/>
        <w:jc w:val="left"/>
        <w:tblLayout w:type="fixed"/>
        <w:tblLook w:firstColumn="1" w:firstRow="1" w:lastColumn="0" w:lastRow="0" w:noHBand="0" w:noVBand="1" w:val="04A0"/>
        <w:tblInd w:w="120" w:type="dxa"/>
      </w:tblPr>
      <w:tblGrid>
        <w:gridCol w:w="1500"/>
        <w:gridCol w:w="2650"/>
        <w:gridCol w:w="2200"/>
        <w:gridCol w:w="3010"/>
      </w:tblGrid>
      <w:tr>
        <w:trPr>
          <w:tblHeader w:val="true"/>
        </w:trPr>
        <w:tc>
          <w:tcPr>
            <w:tcW w:type="dxa" w:w="1500"/>
            <w:tcMar>
              <w:top w:w="80" w:type="dxa"/>
              <w:start w:w="120" w:type="dxa"/>
              <w:bottom w:w="80" w:type="dxa"/>
              <w:end w:w="120" w:type="dxa"/>
            </w:tcMar>
            <w:vAlign w:val="center"/>
            <w:shd w:fill="285A70"/>
          </w:tcPr>
          <w:p>
            <w:pPr>
              <w:jc w:val="center"/>
            </w:pPr>
            <w:r>
              <w:rPr>
                <w:rFonts w:ascii="Aptos" w:hAnsi="Aptos"/>
                <w:b/>
                <w:color w:val="FFFFFF"/>
                <w:sz w:val="17"/>
              </w:rPr>
              <w:t>Precursor</w:t>
            </w:r>
          </w:p>
        </w:tc>
        <w:tc>
          <w:tcPr>
            <w:tcW w:type="dxa" w:w="2650"/>
            <w:tcMar>
              <w:top w:w="80" w:type="dxa"/>
              <w:start w:w="120" w:type="dxa"/>
              <w:bottom w:w="80" w:type="dxa"/>
              <w:end w:w="120" w:type="dxa"/>
            </w:tcMar>
            <w:vAlign w:val="center"/>
            <w:shd w:fill="285A70"/>
          </w:tcPr>
          <w:p>
            <w:pPr>
              <w:jc w:val="center"/>
            </w:pPr>
            <w:r>
              <w:rPr>
                <w:rFonts w:ascii="Aptos" w:hAnsi="Aptos"/>
                <w:b/>
                <w:color w:val="FFFFFF"/>
                <w:sz w:val="17"/>
              </w:rPr>
              <w:t>Likely roles after SCS</w:t>
            </w:r>
          </w:p>
        </w:tc>
        <w:tc>
          <w:tcPr>
            <w:tcW w:type="dxa" w:w="2200"/>
            <w:tcMar>
              <w:top w:w="80" w:type="dxa"/>
              <w:start w:w="120" w:type="dxa"/>
              <w:bottom w:w="80" w:type="dxa"/>
              <w:end w:w="120" w:type="dxa"/>
            </w:tcMar>
            <w:vAlign w:val="center"/>
            <w:shd w:fill="285A70"/>
          </w:tcPr>
          <w:p>
            <w:pPr>
              <w:jc w:val="center"/>
            </w:pPr>
            <w:r>
              <w:rPr>
                <w:rFonts w:ascii="Aptos" w:hAnsi="Aptos"/>
                <w:b/>
                <w:color w:val="FFFFFF"/>
                <w:sz w:val="17"/>
              </w:rPr>
              <w:t>Main agronomic function</w:t>
            </w:r>
          </w:p>
        </w:tc>
        <w:tc>
          <w:tcPr>
            <w:tcW w:type="dxa" w:w="3010"/>
            <w:tcMar>
              <w:top w:w="80" w:type="dxa"/>
              <w:start w:w="120" w:type="dxa"/>
              <w:bottom w:w="80" w:type="dxa"/>
              <w:end w:w="120" w:type="dxa"/>
            </w:tcMar>
            <w:vAlign w:val="center"/>
            <w:shd w:fill="285A70"/>
          </w:tcPr>
          <w:p>
            <w:pPr>
              <w:jc w:val="center"/>
            </w:pPr>
            <w:r>
              <w:rPr>
                <w:rFonts w:ascii="Aptos" w:hAnsi="Aptos"/>
                <w:b/>
                <w:color w:val="FFFFFF"/>
                <w:sz w:val="17"/>
              </w:rPr>
              <w:t>Key risk/uncertainty</w:t>
            </w:r>
          </w:p>
        </w:tc>
      </w:tr>
      <w:tr>
        <w:tc>
          <w:tcPr>
            <w:tcW w:type="dxa" w:w="1500"/>
          </w:tcPr>
          <w:p>
            <w:r>
              <w:rPr>
                <w:rFonts w:ascii="Aptos" w:hAnsi="Aptos"/>
                <w:color w:val="183642"/>
                <w:sz w:val="17"/>
              </w:rPr>
              <w:t>Mg nitrate</w:t>
            </w:r>
          </w:p>
        </w:tc>
        <w:tc>
          <w:tcPr>
            <w:tcW w:type="dxa" w:w="2650"/>
          </w:tcPr>
          <w:p>
            <w:r>
              <w:rPr>
                <w:rFonts w:ascii="Aptos" w:hAnsi="Aptos"/>
                <w:color w:val="183642"/>
                <w:sz w:val="17"/>
              </w:rPr>
              <w:t>MgO and/or Mg ferrite</w:t>
            </w:r>
          </w:p>
        </w:tc>
        <w:tc>
          <w:tcPr>
            <w:tcW w:type="dxa" w:w="2200"/>
          </w:tcPr>
          <w:p>
            <w:r>
              <w:rPr>
                <w:rFonts w:ascii="Aptos" w:hAnsi="Aptos"/>
                <w:color w:val="183642"/>
                <w:sz w:val="17"/>
              </w:rPr>
              <w:t>Mg for chlorophyll and enzymes</w:t>
            </w:r>
          </w:p>
        </w:tc>
        <w:tc>
          <w:tcPr>
            <w:tcW w:type="dxa" w:w="3010"/>
          </w:tcPr>
          <w:p>
            <w:r>
              <w:rPr>
                <w:rFonts w:ascii="Aptos" w:hAnsi="Aptos"/>
                <w:color w:val="183642"/>
                <w:sz w:val="17"/>
              </w:rPr>
              <w:t>Low dissolution in alkaline media; phase locking</w:t>
            </w:r>
          </w:p>
        </w:tc>
      </w:tr>
      <w:tr>
        <w:tc>
          <w:tcPr>
            <w:tcW w:type="dxa" w:w="1500"/>
            <w:shd w:fill="F7F9FA"/>
          </w:tcPr>
          <w:p>
            <w:r>
              <w:rPr>
                <w:rFonts w:ascii="Aptos" w:hAnsi="Aptos"/>
                <w:color w:val="183642"/>
                <w:sz w:val="17"/>
              </w:rPr>
              <w:t>Fe nitrate</w:t>
            </w:r>
          </w:p>
        </w:tc>
        <w:tc>
          <w:tcPr>
            <w:tcW w:type="dxa" w:w="2650"/>
            <w:shd w:fill="F7F9FA"/>
          </w:tcPr>
          <w:p>
            <w:r>
              <w:rPr>
                <w:rFonts w:ascii="Aptos" w:hAnsi="Aptos"/>
                <w:color w:val="183642"/>
                <w:sz w:val="17"/>
              </w:rPr>
              <w:t>Fe2O3/Fe3O4 and mixed ferrites</w:t>
            </w:r>
          </w:p>
        </w:tc>
        <w:tc>
          <w:tcPr>
            <w:tcW w:type="dxa" w:w="2200"/>
            <w:shd w:fill="F7F9FA"/>
          </w:tcPr>
          <w:p>
            <w:r>
              <w:rPr>
                <w:rFonts w:ascii="Aptos" w:hAnsi="Aptos"/>
                <w:color w:val="183642"/>
                <w:sz w:val="17"/>
              </w:rPr>
              <w:t>Fe for chlorophyll synthesis/electron transfer</w:t>
            </w:r>
          </w:p>
        </w:tc>
        <w:tc>
          <w:tcPr>
            <w:tcW w:type="dxa" w:w="3010"/>
            <w:shd w:fill="F7F9FA"/>
          </w:tcPr>
          <w:p>
            <w:r>
              <w:rPr>
                <w:rFonts w:ascii="Aptos" w:hAnsi="Aptos"/>
                <w:color w:val="183642"/>
                <w:sz w:val="17"/>
              </w:rPr>
              <w:t>Very low availability in high-pH soil</w:t>
            </w:r>
          </w:p>
        </w:tc>
      </w:tr>
      <w:tr>
        <w:tc>
          <w:tcPr>
            <w:tcW w:type="dxa" w:w="1500"/>
          </w:tcPr>
          <w:p>
            <w:r>
              <w:rPr>
                <w:rFonts w:ascii="Aptos" w:hAnsi="Aptos"/>
                <w:color w:val="183642"/>
                <w:sz w:val="17"/>
              </w:rPr>
              <w:t>Zn nitrate</w:t>
            </w:r>
          </w:p>
        </w:tc>
        <w:tc>
          <w:tcPr>
            <w:tcW w:type="dxa" w:w="2650"/>
          </w:tcPr>
          <w:p>
            <w:r>
              <w:rPr>
                <w:rFonts w:ascii="Aptos" w:hAnsi="Aptos"/>
                <w:color w:val="183642"/>
                <w:sz w:val="17"/>
              </w:rPr>
              <w:t>ZnO and/or Zn ferrite</w:t>
            </w:r>
          </w:p>
        </w:tc>
        <w:tc>
          <w:tcPr>
            <w:tcW w:type="dxa" w:w="2200"/>
          </w:tcPr>
          <w:p>
            <w:r>
              <w:rPr>
                <w:rFonts w:ascii="Aptos" w:hAnsi="Aptos"/>
                <w:color w:val="183642"/>
                <w:sz w:val="17"/>
              </w:rPr>
              <w:t>Zn-dependent enzymes and growth regulation</w:t>
            </w:r>
          </w:p>
        </w:tc>
        <w:tc>
          <w:tcPr>
            <w:tcW w:type="dxa" w:w="3010"/>
          </w:tcPr>
          <w:p>
            <w:r>
              <w:rPr>
                <w:rFonts w:ascii="Aptos" w:hAnsi="Aptos"/>
                <w:color w:val="183642"/>
                <w:sz w:val="17"/>
              </w:rPr>
              <w:t>Dose-dependent phytotoxicity</w:t>
            </w:r>
          </w:p>
        </w:tc>
      </w:tr>
      <w:tr>
        <w:tc>
          <w:tcPr>
            <w:tcW w:type="dxa" w:w="1500"/>
            <w:shd w:fill="F7F9FA"/>
          </w:tcPr>
          <w:p>
            <w:r>
              <w:rPr>
                <w:rFonts w:ascii="Aptos" w:hAnsi="Aptos"/>
                <w:color w:val="183642"/>
                <w:sz w:val="17"/>
              </w:rPr>
              <w:t>Cu nitrate</w:t>
            </w:r>
          </w:p>
        </w:tc>
        <w:tc>
          <w:tcPr>
            <w:tcW w:type="dxa" w:w="2650"/>
            <w:shd w:fill="F7F9FA"/>
          </w:tcPr>
          <w:p>
            <w:r>
              <w:rPr>
                <w:rFonts w:ascii="Aptos" w:hAnsi="Aptos"/>
                <w:color w:val="183642"/>
                <w:sz w:val="17"/>
              </w:rPr>
              <w:t>CuO and/or Cu ferrite</w:t>
            </w:r>
          </w:p>
        </w:tc>
        <w:tc>
          <w:tcPr>
            <w:tcW w:type="dxa" w:w="2200"/>
            <w:shd w:fill="F7F9FA"/>
          </w:tcPr>
          <w:p>
            <w:r>
              <w:rPr>
                <w:rFonts w:ascii="Aptos" w:hAnsi="Aptos"/>
                <w:color w:val="183642"/>
                <w:sz w:val="17"/>
              </w:rPr>
              <w:t>Redox enzymes, lignification</w:t>
            </w:r>
          </w:p>
        </w:tc>
        <w:tc>
          <w:tcPr>
            <w:tcW w:type="dxa" w:w="3010"/>
            <w:shd w:fill="F7F9FA"/>
          </w:tcPr>
          <w:p>
            <w:r>
              <w:rPr>
                <w:rFonts w:ascii="Aptos" w:hAnsi="Aptos"/>
                <w:color w:val="183642"/>
                <w:sz w:val="17"/>
              </w:rPr>
              <w:t>Narrow safety margin; antimicrobial effects</w:t>
            </w:r>
          </w:p>
        </w:tc>
      </w:tr>
      <w:tr>
        <w:tc>
          <w:tcPr>
            <w:tcW w:type="dxa" w:w="1500"/>
          </w:tcPr>
          <w:p>
            <w:r>
              <w:rPr>
                <w:rFonts w:ascii="Aptos" w:hAnsi="Aptos"/>
                <w:color w:val="183642"/>
                <w:sz w:val="17"/>
              </w:rPr>
              <w:t>Ca nitrate</w:t>
            </w:r>
          </w:p>
        </w:tc>
        <w:tc>
          <w:tcPr>
            <w:tcW w:type="dxa" w:w="2650"/>
          </w:tcPr>
          <w:p>
            <w:r>
              <w:rPr>
                <w:rFonts w:ascii="Aptos" w:hAnsi="Aptos"/>
                <w:color w:val="183642"/>
                <w:sz w:val="17"/>
              </w:rPr>
              <w:t>CaO/CaCO3/Ca ferrite or amorphous Ca phase</w:t>
            </w:r>
          </w:p>
        </w:tc>
        <w:tc>
          <w:tcPr>
            <w:tcW w:type="dxa" w:w="2200"/>
          </w:tcPr>
          <w:p>
            <w:r>
              <w:rPr>
                <w:rFonts w:ascii="Aptos" w:hAnsi="Aptos"/>
                <w:color w:val="183642"/>
                <w:sz w:val="17"/>
              </w:rPr>
              <w:t>Cell walls, membranes, signaling</w:t>
            </w:r>
          </w:p>
        </w:tc>
        <w:tc>
          <w:tcPr>
            <w:tcW w:type="dxa" w:w="3010"/>
          </w:tcPr>
          <w:p>
            <w:r>
              <w:rPr>
                <w:rFonts w:ascii="Aptos" w:hAnsi="Aptos"/>
                <w:color w:val="183642"/>
                <w:sz w:val="17"/>
              </w:rPr>
              <w:t>Carbonation; high-pH reactivity</w:t>
            </w:r>
          </w:p>
        </w:tc>
      </w:tr>
      <w:tr>
        <w:tc>
          <w:tcPr>
            <w:tcW w:type="dxa" w:w="1500"/>
            <w:shd w:fill="F7F9FA"/>
          </w:tcPr>
          <w:p>
            <w:r>
              <w:rPr>
                <w:rFonts w:ascii="Aptos" w:hAnsi="Aptos"/>
                <w:color w:val="183642"/>
                <w:sz w:val="17"/>
              </w:rPr>
              <w:t>Mn nitrate</w:t>
            </w:r>
          </w:p>
        </w:tc>
        <w:tc>
          <w:tcPr>
            <w:tcW w:type="dxa" w:w="2650"/>
            <w:shd w:fill="F7F9FA"/>
          </w:tcPr>
          <w:p>
            <w:r>
              <w:rPr>
                <w:rFonts w:ascii="Aptos" w:hAnsi="Aptos"/>
                <w:color w:val="183642"/>
                <w:sz w:val="17"/>
              </w:rPr>
              <w:t>MnOx and/or Mn ferrite</w:t>
            </w:r>
          </w:p>
        </w:tc>
        <w:tc>
          <w:tcPr>
            <w:tcW w:type="dxa" w:w="2200"/>
            <w:shd w:fill="F7F9FA"/>
          </w:tcPr>
          <w:p>
            <w:r>
              <w:rPr>
                <w:rFonts w:ascii="Aptos" w:hAnsi="Aptos"/>
                <w:color w:val="183642"/>
                <w:sz w:val="17"/>
              </w:rPr>
              <w:t>Photosystem II and enzymes</w:t>
            </w:r>
          </w:p>
        </w:tc>
        <w:tc>
          <w:tcPr>
            <w:tcW w:type="dxa" w:w="3010"/>
            <w:shd w:fill="F7F9FA"/>
          </w:tcPr>
          <w:p>
            <w:r>
              <w:rPr>
                <w:rFonts w:ascii="Aptos" w:hAnsi="Aptos"/>
                <w:color w:val="183642"/>
                <w:sz w:val="17"/>
              </w:rPr>
              <w:t>Oxidation state strongly process-dependent</w:t>
            </w:r>
          </w:p>
        </w:tc>
      </w:tr>
      <w:tr>
        <w:tc>
          <w:tcPr>
            <w:tcW w:type="dxa" w:w="1500"/>
          </w:tcPr>
          <w:p>
            <w:r>
              <w:rPr>
                <w:rFonts w:ascii="Aptos" w:hAnsi="Aptos"/>
                <w:color w:val="183642"/>
                <w:sz w:val="17"/>
              </w:rPr>
              <w:t>Sucrose</w:t>
            </w:r>
          </w:p>
        </w:tc>
        <w:tc>
          <w:tcPr>
            <w:tcW w:type="dxa" w:w="2650"/>
          </w:tcPr>
          <w:p>
            <w:r>
              <w:rPr>
                <w:rFonts w:ascii="Aptos" w:hAnsi="Aptos"/>
                <w:color w:val="183642"/>
                <w:sz w:val="17"/>
              </w:rPr>
              <w:t>Fuel/complexing carbon source; gas generation</w:t>
            </w:r>
          </w:p>
        </w:tc>
        <w:tc>
          <w:tcPr>
            <w:tcW w:type="dxa" w:w="2200"/>
          </w:tcPr>
          <w:p>
            <w:r>
              <w:rPr>
                <w:rFonts w:ascii="Aptos" w:hAnsi="Aptos"/>
                <w:color w:val="183642"/>
                <w:sz w:val="17"/>
              </w:rPr>
              <w:t>No intended nutrient claim after complete combustion</w:t>
            </w:r>
          </w:p>
        </w:tc>
        <w:tc>
          <w:tcPr>
            <w:tcW w:type="dxa" w:w="3010"/>
          </w:tcPr>
          <w:p>
            <w:r>
              <w:rPr>
                <w:rFonts w:ascii="Aptos" w:hAnsi="Aptos"/>
                <w:color w:val="183642"/>
                <w:sz w:val="17"/>
              </w:rPr>
              <w:t>Residual carbon if fuel-rich</w:t>
            </w:r>
          </w:p>
        </w:tc>
      </w:tr>
      <w:tr>
        <w:tc>
          <w:tcPr>
            <w:tcW w:type="dxa" w:w="1500"/>
            <w:shd w:fill="F7F9FA"/>
          </w:tcPr>
          <w:p>
            <w:r>
              <w:rPr>
                <w:rFonts w:ascii="Aptos" w:hAnsi="Aptos"/>
                <w:color w:val="183642"/>
                <w:sz w:val="17"/>
              </w:rPr>
              <w:t>Ammonium nitrate</w:t>
            </w:r>
          </w:p>
        </w:tc>
        <w:tc>
          <w:tcPr>
            <w:tcW w:type="dxa" w:w="2650"/>
            <w:shd w:fill="F7F9FA"/>
          </w:tcPr>
          <w:p>
            <w:r>
              <w:rPr>
                <w:rFonts w:ascii="Aptos" w:hAnsi="Aptos"/>
                <w:color w:val="183642"/>
                <w:sz w:val="17"/>
              </w:rPr>
              <w:t>Additional oxidizer/gas former</w:t>
            </w:r>
          </w:p>
        </w:tc>
        <w:tc>
          <w:tcPr>
            <w:tcW w:type="dxa" w:w="2200"/>
            <w:shd w:fill="F7F9FA"/>
          </w:tcPr>
          <w:p>
            <w:r>
              <w:rPr>
                <w:rFonts w:ascii="Aptos" w:hAnsi="Aptos"/>
                <w:color w:val="183642"/>
                <w:sz w:val="17"/>
              </w:rPr>
              <w:t>Nitrogen only if retained, which SCS does not ensure</w:t>
            </w:r>
          </w:p>
        </w:tc>
        <w:tc>
          <w:tcPr>
            <w:tcW w:type="dxa" w:w="3010"/>
            <w:shd w:fill="F7F9FA"/>
          </w:tcPr>
          <w:p>
            <w:r>
              <w:rPr>
                <w:rFonts w:ascii="Aptos" w:hAnsi="Aptos"/>
                <w:color w:val="183642"/>
                <w:sz w:val="17"/>
              </w:rPr>
              <w:t>Major energetic severity; no target metal</w:t>
            </w:r>
          </w:p>
        </w:tc>
      </w:tr>
    </w:tbl>
    <w:p>
      <w:pPr>
        <w:spacing w:after="0"/>
      </w:pPr>
    </w:p>
    <w:p>
      <w:pPr>
        <w:pStyle w:val="Heading2"/>
      </w:pPr>
      <w:r>
        <w:t>2.2 Provisional cation screening design</w:t>
      </w:r>
    </w:p>
    <w:p>
      <w:r>
        <w:t>A conservative screening center can be defined on a metal-cation molar basis, not on nitrate-salt mass and not on oxide mass. One defensible center point is Mg 42%, Ca 35%, Fe 15%, Zn 5%, Mn 2.5%, and Cu 0.5% of total metal moles. This is not an “ideal ratio”; it is a hypothesis that retains Mg/Ca as the bulk, adds Fe, and limits Cu. Hydrate waters and nitrate content must be accounted for separately in any stoichiometric calculation.</w:t>
      </w:r>
    </w:p>
    <w:tbl>
      <w:tblPr>
        <w:tblW w:type="dxa" w:w="9360"/>
        <w:jc w:val="left"/>
        <w:tblLayout w:type="fixed"/>
        <w:tblLook w:firstColumn="1" w:firstRow="1" w:lastColumn="0" w:lastRow="0" w:noHBand="0" w:noVBand="1" w:val="04A0"/>
        <w:tblInd w:w="120" w:type="dxa"/>
      </w:tblPr>
      <w:tblGrid>
        <w:gridCol w:w="1900"/>
        <w:gridCol w:w="1300"/>
        <w:gridCol w:w="1300"/>
        <w:gridCol w:w="1300"/>
        <w:gridCol w:w="3560"/>
      </w:tblGrid>
      <w:tr>
        <w:trPr>
          <w:tblHeader w:val="true"/>
        </w:trPr>
        <w:tc>
          <w:tcPr>
            <w:tcW w:type="dxa" w:w="1900"/>
            <w:tcMar>
              <w:top w:w="80" w:type="dxa"/>
              <w:start w:w="120" w:type="dxa"/>
              <w:bottom w:w="80" w:type="dxa"/>
              <w:end w:w="120" w:type="dxa"/>
            </w:tcMar>
            <w:vAlign w:val="center"/>
            <w:shd w:fill="285A70"/>
          </w:tcPr>
          <w:p>
            <w:pPr>
              <w:jc w:val="center"/>
            </w:pPr>
            <w:r>
              <w:rPr>
                <w:rFonts w:ascii="Aptos" w:hAnsi="Aptos"/>
                <w:b/>
                <w:color w:val="FFFFFF"/>
                <w:sz w:val="17"/>
              </w:rPr>
              <w:t>Factor</w:t>
            </w:r>
          </w:p>
        </w:tc>
        <w:tc>
          <w:tcPr>
            <w:tcW w:type="dxa" w:w="1300"/>
            <w:tcMar>
              <w:top w:w="80" w:type="dxa"/>
              <w:start w:w="120" w:type="dxa"/>
              <w:bottom w:w="80" w:type="dxa"/>
              <w:end w:w="120" w:type="dxa"/>
            </w:tcMar>
            <w:vAlign w:val="center"/>
            <w:shd w:fill="285A70"/>
          </w:tcPr>
          <w:p>
            <w:pPr>
              <w:jc w:val="center"/>
            </w:pPr>
            <w:r>
              <w:rPr>
                <w:rFonts w:ascii="Aptos" w:hAnsi="Aptos"/>
                <w:b/>
                <w:color w:val="FFFFFF"/>
                <w:sz w:val="17"/>
              </w:rPr>
              <w:t>Low</w:t>
            </w:r>
          </w:p>
        </w:tc>
        <w:tc>
          <w:tcPr>
            <w:tcW w:type="dxa" w:w="1300"/>
            <w:tcMar>
              <w:top w:w="80" w:type="dxa"/>
              <w:start w:w="120" w:type="dxa"/>
              <w:bottom w:w="80" w:type="dxa"/>
              <w:end w:w="120" w:type="dxa"/>
            </w:tcMar>
            <w:vAlign w:val="center"/>
            <w:shd w:fill="285A70"/>
          </w:tcPr>
          <w:p>
            <w:pPr>
              <w:jc w:val="center"/>
            </w:pPr>
            <w:r>
              <w:rPr>
                <w:rFonts w:ascii="Aptos" w:hAnsi="Aptos"/>
                <w:b/>
                <w:color w:val="FFFFFF"/>
                <w:sz w:val="17"/>
              </w:rPr>
              <w:t>Center</w:t>
            </w:r>
          </w:p>
        </w:tc>
        <w:tc>
          <w:tcPr>
            <w:tcW w:type="dxa" w:w="1300"/>
            <w:tcMar>
              <w:top w:w="80" w:type="dxa"/>
              <w:start w:w="120" w:type="dxa"/>
              <w:bottom w:w="80" w:type="dxa"/>
              <w:end w:w="120" w:type="dxa"/>
            </w:tcMar>
            <w:vAlign w:val="center"/>
            <w:shd w:fill="285A70"/>
          </w:tcPr>
          <w:p>
            <w:pPr>
              <w:jc w:val="center"/>
            </w:pPr>
            <w:r>
              <w:rPr>
                <w:rFonts w:ascii="Aptos" w:hAnsi="Aptos"/>
                <w:b/>
                <w:color w:val="FFFFFF"/>
                <w:sz w:val="17"/>
              </w:rPr>
              <w:t>High</w:t>
            </w:r>
          </w:p>
        </w:tc>
        <w:tc>
          <w:tcPr>
            <w:tcW w:type="dxa" w:w="3560"/>
            <w:tcMar>
              <w:top w:w="80" w:type="dxa"/>
              <w:start w:w="120" w:type="dxa"/>
              <w:bottom w:w="80" w:type="dxa"/>
              <w:end w:w="120" w:type="dxa"/>
            </w:tcMar>
            <w:vAlign w:val="center"/>
            <w:shd w:fill="285A70"/>
          </w:tcPr>
          <w:p>
            <w:pPr>
              <w:jc w:val="center"/>
            </w:pPr>
            <w:r>
              <w:rPr>
                <w:rFonts w:ascii="Aptos" w:hAnsi="Aptos"/>
                <w:b/>
                <w:color w:val="FFFFFF"/>
                <w:sz w:val="17"/>
              </w:rPr>
              <w:t>Purpose</w:t>
            </w:r>
          </w:p>
        </w:tc>
      </w:tr>
      <w:tr>
        <w:tc>
          <w:tcPr>
            <w:tcW w:type="dxa" w:w="1900"/>
          </w:tcPr>
          <w:p>
            <w:r>
              <w:rPr>
                <w:rFonts w:ascii="Aptos" w:hAnsi="Aptos"/>
                <w:color w:val="183642"/>
                <w:sz w:val="17"/>
              </w:rPr>
              <w:t>Fe fraction</w:t>
            </w:r>
          </w:p>
        </w:tc>
        <w:tc>
          <w:tcPr>
            <w:tcW w:type="dxa" w:w="1300"/>
          </w:tcPr>
          <w:p>
            <w:r>
              <w:rPr>
                <w:rFonts w:ascii="Aptos" w:hAnsi="Aptos"/>
                <w:color w:val="183642"/>
                <w:sz w:val="17"/>
              </w:rPr>
              <w:t>8 mol%</w:t>
            </w:r>
          </w:p>
        </w:tc>
        <w:tc>
          <w:tcPr>
            <w:tcW w:type="dxa" w:w="1300"/>
          </w:tcPr>
          <w:p>
            <w:r>
              <w:rPr>
                <w:rFonts w:ascii="Aptos" w:hAnsi="Aptos"/>
                <w:color w:val="183642"/>
                <w:sz w:val="17"/>
              </w:rPr>
              <w:t>15 mol%</w:t>
            </w:r>
          </w:p>
        </w:tc>
        <w:tc>
          <w:tcPr>
            <w:tcW w:type="dxa" w:w="1300"/>
          </w:tcPr>
          <w:p>
            <w:r>
              <w:rPr>
                <w:rFonts w:ascii="Aptos" w:hAnsi="Aptos"/>
                <w:color w:val="183642"/>
                <w:sz w:val="17"/>
              </w:rPr>
              <w:t>25 mol%</w:t>
            </w:r>
          </w:p>
        </w:tc>
        <w:tc>
          <w:tcPr>
            <w:tcW w:type="dxa" w:w="3560"/>
          </w:tcPr>
          <w:p>
            <w:r>
              <w:rPr>
                <w:rFonts w:ascii="Aptos" w:hAnsi="Aptos"/>
                <w:color w:val="183642"/>
                <w:sz w:val="17"/>
              </w:rPr>
              <w:t>Tests ferrite formation vs. discrete oxides</w:t>
            </w:r>
          </w:p>
        </w:tc>
      </w:tr>
      <w:tr>
        <w:tc>
          <w:tcPr>
            <w:tcW w:type="dxa" w:w="1900"/>
            <w:shd w:fill="F7F9FA"/>
          </w:tcPr>
          <w:p>
            <w:r>
              <w:rPr>
                <w:rFonts w:ascii="Aptos" w:hAnsi="Aptos"/>
                <w:color w:val="183642"/>
                <w:sz w:val="17"/>
              </w:rPr>
              <w:t>Zn fraction</w:t>
            </w:r>
          </w:p>
        </w:tc>
        <w:tc>
          <w:tcPr>
            <w:tcW w:type="dxa" w:w="1300"/>
            <w:shd w:fill="F7F9FA"/>
          </w:tcPr>
          <w:p>
            <w:r>
              <w:rPr>
                <w:rFonts w:ascii="Aptos" w:hAnsi="Aptos"/>
                <w:color w:val="183642"/>
                <w:sz w:val="17"/>
              </w:rPr>
              <w:t>2 mol%</w:t>
            </w:r>
          </w:p>
        </w:tc>
        <w:tc>
          <w:tcPr>
            <w:tcW w:type="dxa" w:w="1300"/>
            <w:shd w:fill="F7F9FA"/>
          </w:tcPr>
          <w:p>
            <w:r>
              <w:rPr>
                <w:rFonts w:ascii="Aptos" w:hAnsi="Aptos"/>
                <w:color w:val="183642"/>
                <w:sz w:val="17"/>
              </w:rPr>
              <w:t>5 mol%</w:t>
            </w:r>
          </w:p>
        </w:tc>
        <w:tc>
          <w:tcPr>
            <w:tcW w:type="dxa" w:w="1300"/>
            <w:shd w:fill="F7F9FA"/>
          </w:tcPr>
          <w:p>
            <w:r>
              <w:rPr>
                <w:rFonts w:ascii="Aptos" w:hAnsi="Aptos"/>
                <w:color w:val="183642"/>
                <w:sz w:val="17"/>
              </w:rPr>
              <w:t>8 mol%</w:t>
            </w:r>
          </w:p>
        </w:tc>
        <w:tc>
          <w:tcPr>
            <w:tcW w:type="dxa" w:w="3560"/>
            <w:shd w:fill="F7F9FA"/>
          </w:tcPr>
          <w:p>
            <w:r>
              <w:rPr>
                <w:rFonts w:ascii="Aptos" w:hAnsi="Aptos"/>
                <w:color w:val="183642"/>
                <w:sz w:val="17"/>
              </w:rPr>
              <w:t>Tests Zn delivery and toxicity window</w:t>
            </w:r>
          </w:p>
        </w:tc>
      </w:tr>
      <w:tr>
        <w:tc>
          <w:tcPr>
            <w:tcW w:type="dxa" w:w="1900"/>
          </w:tcPr>
          <w:p>
            <w:r>
              <w:rPr>
                <w:rFonts w:ascii="Aptos" w:hAnsi="Aptos"/>
                <w:color w:val="183642"/>
                <w:sz w:val="17"/>
              </w:rPr>
              <w:t>Mn fraction</w:t>
            </w:r>
          </w:p>
        </w:tc>
        <w:tc>
          <w:tcPr>
            <w:tcW w:type="dxa" w:w="1300"/>
          </w:tcPr>
          <w:p>
            <w:r>
              <w:rPr>
                <w:rFonts w:ascii="Aptos" w:hAnsi="Aptos"/>
                <w:color w:val="183642"/>
                <w:sz w:val="17"/>
              </w:rPr>
              <w:t>1 mol%</w:t>
            </w:r>
          </w:p>
        </w:tc>
        <w:tc>
          <w:tcPr>
            <w:tcW w:type="dxa" w:w="1300"/>
          </w:tcPr>
          <w:p>
            <w:r>
              <w:rPr>
                <w:rFonts w:ascii="Aptos" w:hAnsi="Aptos"/>
                <w:color w:val="183642"/>
                <w:sz w:val="17"/>
              </w:rPr>
              <w:t>2.5 mol%</w:t>
            </w:r>
          </w:p>
        </w:tc>
        <w:tc>
          <w:tcPr>
            <w:tcW w:type="dxa" w:w="1300"/>
          </w:tcPr>
          <w:p>
            <w:r>
              <w:rPr>
                <w:rFonts w:ascii="Aptos" w:hAnsi="Aptos"/>
                <w:color w:val="183642"/>
                <w:sz w:val="17"/>
              </w:rPr>
              <w:t>5 mol%</w:t>
            </w:r>
          </w:p>
        </w:tc>
        <w:tc>
          <w:tcPr>
            <w:tcW w:type="dxa" w:w="3560"/>
          </w:tcPr>
          <w:p>
            <w:r>
              <w:rPr>
                <w:rFonts w:ascii="Aptos" w:hAnsi="Aptos"/>
                <w:color w:val="183642"/>
                <w:sz w:val="17"/>
              </w:rPr>
              <w:t>Tests Mn response and phase changes</w:t>
            </w:r>
          </w:p>
        </w:tc>
      </w:tr>
      <w:tr>
        <w:tc>
          <w:tcPr>
            <w:tcW w:type="dxa" w:w="1900"/>
            <w:shd w:fill="F7F9FA"/>
          </w:tcPr>
          <w:p>
            <w:r>
              <w:rPr>
                <w:rFonts w:ascii="Aptos" w:hAnsi="Aptos"/>
                <w:color w:val="183642"/>
                <w:sz w:val="17"/>
              </w:rPr>
              <w:t>Cu fraction</w:t>
            </w:r>
          </w:p>
        </w:tc>
        <w:tc>
          <w:tcPr>
            <w:tcW w:type="dxa" w:w="1300"/>
            <w:shd w:fill="F7F9FA"/>
          </w:tcPr>
          <w:p>
            <w:r>
              <w:rPr>
                <w:rFonts w:ascii="Aptos" w:hAnsi="Aptos"/>
                <w:color w:val="183642"/>
                <w:sz w:val="17"/>
              </w:rPr>
              <w:t>0.1 mol%</w:t>
            </w:r>
          </w:p>
        </w:tc>
        <w:tc>
          <w:tcPr>
            <w:tcW w:type="dxa" w:w="1300"/>
            <w:shd w:fill="F7F9FA"/>
          </w:tcPr>
          <w:p>
            <w:r>
              <w:rPr>
                <w:rFonts w:ascii="Aptos" w:hAnsi="Aptos"/>
                <w:color w:val="183642"/>
                <w:sz w:val="17"/>
              </w:rPr>
              <w:t>0.5 mol%</w:t>
            </w:r>
          </w:p>
        </w:tc>
        <w:tc>
          <w:tcPr>
            <w:tcW w:type="dxa" w:w="1300"/>
            <w:shd w:fill="F7F9FA"/>
          </w:tcPr>
          <w:p>
            <w:r>
              <w:rPr>
                <w:rFonts w:ascii="Aptos" w:hAnsi="Aptos"/>
                <w:color w:val="183642"/>
                <w:sz w:val="17"/>
              </w:rPr>
              <w:t>1.0 mol%</w:t>
            </w:r>
          </w:p>
        </w:tc>
        <w:tc>
          <w:tcPr>
            <w:tcW w:type="dxa" w:w="3560"/>
            <w:shd w:fill="F7F9FA"/>
          </w:tcPr>
          <w:p>
            <w:r>
              <w:rPr>
                <w:rFonts w:ascii="Aptos" w:hAnsi="Aptos"/>
                <w:color w:val="183642"/>
                <w:sz w:val="17"/>
              </w:rPr>
              <w:t>Defines minimum effective, non-toxic Cu</w:t>
            </w:r>
          </w:p>
        </w:tc>
      </w:tr>
      <w:tr>
        <w:tc>
          <w:tcPr>
            <w:tcW w:type="dxa" w:w="1900"/>
          </w:tcPr>
          <w:p>
            <w:r>
              <w:rPr>
                <w:rFonts w:ascii="Aptos" w:hAnsi="Aptos"/>
                <w:color w:val="183642"/>
                <w:sz w:val="17"/>
              </w:rPr>
              <w:t>Mg:Ca balance</w:t>
            </w:r>
          </w:p>
        </w:tc>
        <w:tc>
          <w:tcPr>
            <w:tcW w:type="dxa" w:w="1300"/>
          </w:tcPr>
          <w:p>
            <w:r>
              <w:rPr>
                <w:rFonts w:ascii="Aptos" w:hAnsi="Aptos"/>
                <w:color w:val="183642"/>
                <w:sz w:val="17"/>
              </w:rPr>
              <w:t>55:45</w:t>
            </w:r>
          </w:p>
        </w:tc>
        <w:tc>
          <w:tcPr>
            <w:tcW w:type="dxa" w:w="1300"/>
          </w:tcPr>
          <w:p>
            <w:r>
              <w:rPr>
                <w:rFonts w:ascii="Aptos" w:hAnsi="Aptos"/>
                <w:color w:val="183642"/>
                <w:sz w:val="17"/>
              </w:rPr>
              <w:t>55:45</w:t>
            </w:r>
          </w:p>
        </w:tc>
        <w:tc>
          <w:tcPr>
            <w:tcW w:type="dxa" w:w="1300"/>
          </w:tcPr>
          <w:p>
            <w:r>
              <w:rPr>
                <w:rFonts w:ascii="Aptos" w:hAnsi="Aptos"/>
                <w:color w:val="183642"/>
                <w:sz w:val="17"/>
              </w:rPr>
              <w:t>70:30</w:t>
            </w:r>
          </w:p>
        </w:tc>
        <w:tc>
          <w:tcPr>
            <w:tcW w:type="dxa" w:w="3560"/>
          </w:tcPr>
          <w:p>
            <w:r>
              <w:rPr>
                <w:rFonts w:ascii="Aptos" w:hAnsi="Aptos"/>
                <w:color w:val="183642"/>
                <w:sz w:val="17"/>
              </w:rPr>
              <w:t>Tests solubility and secondary-nutrient balance</w:t>
            </w:r>
          </w:p>
        </w:tc>
      </w:tr>
    </w:tbl>
    <w:p>
      <w:pPr>
        <w:spacing w:after="0"/>
      </w:pPr>
    </w:p>
    <w:p>
      <w:r>
        <w:t>Hold total metal dose constant in plant trials. Changing the cation composition and total solids at the same time makes efficacy impossible to interpret. Each formulation should be compared with soluble ionic controls delivering the same Mg, Fe, Zn, Cu, Ca and Mn amounts.</w:t>
      </w:r>
    </w:p>
    <w:p>
      <w:pPr>
        <w:pStyle w:val="Heading1"/>
      </w:pPr>
      <w:r>
        <w:t>3. SCS chemistry and stoichiometric framework</w:t>
      </w:r>
    </w:p>
    <w:p>
      <w:r>
        <w:t>SCS couples nitrate oxidizers with an organic fuel. Sucrose coordinates metal ions imperfectly compared with classic chelating fuels, but it can promote homogeneous mixing and generates a porous product through rapid gas evolution. The fuel-to-oxidizer equivalence ratio (often denoted φ) controls combustion mode, peak temperature, residual carbon, crystallinity, particle necking, and phase selectivity. Literature repeatedly shows that fuel identity and amount are not transferable constants across different nitrate hydrates or cation mixtures.</w:t>
      </w:r>
    </w:p>
    <w:p>
      <w:r>
        <w:t>For planning, calculate an oxidizing-valence total from nitrate groups and a reducing-valence total from the carbon and hydrogen in sucrose, using the actual certificate-of-analysis formula for every hydrated salt. Define φ consistently in the laboratory worksheet, document whether φ = reducing/oxidizing or its reciprocal, and have the balance independently checked. The candidate window must then be narrowed by DSC/TGA and, for scale-up, adiabatic calorimetry. Do not infer safety from a published formula for a different oxide.</w:t>
      </w:r>
    </w:p>
    <w:tbl>
      <w:tblPr>
        <w:tblW w:type="dxa" w:w="9360"/>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CECEC"/>
          </w:tcPr>
          <w:p>
            <w:r>
              <w:rPr>
                <w:rFonts w:ascii="Aptos" w:hAnsi="Aptos"/>
                <w:b/>
                <w:color w:val="9B2C2C"/>
                <w:sz w:val="18"/>
              </w:rPr>
              <w:t xml:space="preserve">AMMONIUM NITRATE DECISION  </w:t>
            </w:r>
            <w:r>
              <w:rPr>
                <w:rFonts w:ascii="Aptos" w:hAnsi="Aptos"/>
                <w:color w:val="183642"/>
                <w:sz w:val="20"/>
              </w:rPr>
              <w:t>Exclude added ammonium nitrate from the initial SCS matrix. The metal nitrates already provide oxidizing nitrate. If ammonium nitrate is scientifically necessary, treat it as a separate hazard-controlled factor only after calorimetry and formal process-safety approval; do not assume it improves nutrient value after combustion.</w:t>
            </w:r>
          </w:p>
        </w:tc>
      </w:tr>
    </w:tbl>
    <w:p>
      <w:pPr>
        <w:spacing w:after="0"/>
      </w:pPr>
    </w:p>
    <w:p>
      <w:pPr>
        <w:pStyle w:val="Heading1"/>
      </w:pPr>
      <w:r>
        <w:t>4. Recommended stage-gated synthesis program</w:t>
      </w:r>
    </w:p>
    <w:p>
      <w:pPr>
        <w:pStyle w:val="Heading2"/>
      </w:pPr>
      <w:r>
        <w:t>Stage 0 — Define the target product profile</w:t>
      </w:r>
    </w:p>
    <w:p>
      <w:pPr>
        <w:pStyle w:val="ListNumber"/>
      </w:pPr>
      <w:r>
        <w:t>Specify crop, growth stage, soil or substrate, pH, baseline nutrient analysis, application route, and intended nutrient dose per hectare or per pot.</w:t>
      </w:r>
    </w:p>
    <w:p>
      <w:pPr>
        <w:pStyle w:val="ListNumber"/>
      </w:pPr>
      <w:r>
        <w:t>Define measurable acceptance criteria: elemental composition, phase identity, median agglomerate size, redispersibility, dissolution, nitrate residue, microbial response, and plant safety.</w:t>
      </w:r>
    </w:p>
    <w:p>
      <w:pPr>
        <w:pStyle w:val="ListNumber"/>
      </w:pPr>
      <w:r>
        <w:t>Create a batch record that distinguishes nitrate hydrate formula, assay, lot, water content, and metal-mole contribution.</w:t>
      </w:r>
    </w:p>
    <w:p>
      <w:pPr>
        <w:pStyle w:val="Heading2"/>
      </w:pPr>
      <w:r>
        <w:t>Stage 1 — Establish non-energetic analytical controls</w:t>
      </w:r>
    </w:p>
    <w:p>
      <w:pPr>
        <w:pStyle w:val="ListNumber"/>
      </w:pPr>
      <w:r>
        <w:t>Prepare physical mixtures of the already available oxide nanopowders at the same cation ratios. These controls reveal whether SCS-created phases improve or reduce nutrient release.</w:t>
      </w:r>
    </w:p>
    <w:p>
      <w:pPr>
        <w:pStyle w:val="ListNumber"/>
      </w:pPr>
      <w:r>
        <w:t>Prepare soluble nitrate controls for plant studies at equal elemental doses; these distinguish a nano/phase effect from ordinary ion nutrition.</w:t>
      </w:r>
    </w:p>
    <w:p>
      <w:pPr>
        <w:pStyle w:val="ListNumber"/>
      </w:pPr>
      <w:r>
        <w:t>Run compatibility tests between each oxide, water, candidate dispersant, urea solution, and irrigation water before combustion work.</w:t>
      </w:r>
    </w:p>
    <w:p>
      <w:pPr>
        <w:pStyle w:val="Heading2"/>
      </w:pPr>
      <w:r>
        <w:t>Stage 2 — Single- and binary-cation SCS controls</w:t>
      </w:r>
    </w:p>
    <w:p>
      <w:pPr>
        <w:pStyle w:val="ListNumber"/>
      </w:pPr>
      <w:r>
        <w:t>Develop Mg, Fe, Zn, Cu, Ca and Mn single-cation products independently under an institution-approved microscale screening plan.</w:t>
      </w:r>
    </w:p>
    <w:p>
      <w:pPr>
        <w:pStyle w:val="ListNumber"/>
      </w:pPr>
      <w:r>
        <w:t>Study the most probable mixed phases: Mg–Fe, Zn–Fe, Mn–Fe, Cu–Fe, and Ca–Fe. Use XRD/Rietveld analysis and ICP digestion to close the mass balance.</w:t>
      </w:r>
    </w:p>
    <w:p>
      <w:pPr>
        <w:pStyle w:val="ListNumber"/>
      </w:pPr>
      <w:r>
        <w:t>Use DSC/TGA of dried precursor gels to compare onset, heat release pattern, residual mass, and multistep decomposition. Stop any formulation with abrupt or poorly controlled exothermicity.</w:t>
      </w:r>
    </w:p>
    <w:p>
      <w:pPr>
        <w:pStyle w:val="Heading2"/>
      </w:pPr>
      <w:r>
        <w:t>Stage 3 — Multication design of experiments</w:t>
      </w:r>
    </w:p>
    <w:p>
      <w:pPr>
        <w:pStyle w:val="ListNumber"/>
      </w:pPr>
      <w:r>
        <w:t>Select a small factorial or response-surface design around the cation center point. Keep total metal concentration and precursor water basis controlled.</w:t>
      </w:r>
    </w:p>
    <w:p>
      <w:pPr>
        <w:pStyle w:val="ListNumber"/>
      </w:pPr>
      <w:r>
        <w:t>Treat fuel equivalence, solids concentration before combustion, and post-treatment severity as independent process factors. Do not change all three in one experiment.</w:t>
      </w:r>
    </w:p>
    <w:p>
      <w:pPr>
        <w:pStyle w:val="ListNumber"/>
      </w:pPr>
      <w:r>
        <w:t>Perform reactions only in equipment and scale authorized by the hazard review: open, vented, heat-resistant containment; local exhaust; remote observation; no confinement; no combustible surroundings.</w:t>
      </w:r>
    </w:p>
    <w:p>
      <w:pPr>
        <w:pStyle w:val="ListNumber"/>
      </w:pPr>
      <w:r>
        <w:t>Quarantine each powder until residual oxidizer, free carbon, phase composition, and thermal stability are known.</w:t>
      </w:r>
    </w:p>
    <w:p>
      <w:pPr>
        <w:pStyle w:val="Heading2"/>
      </w:pPr>
      <w:r>
        <w:t>Stage 4 — Post-processing and release testing</w:t>
      </w:r>
    </w:p>
    <w:p>
      <w:pPr>
        <w:pStyle w:val="ListNumber"/>
      </w:pPr>
      <w:r>
        <w:t>Choose post-heat-treatment conditions from TGA/XRD rather than copying a universal calcination temperature. Excessive treatment can sinter particles and suppress nutrient release.</w:t>
      </w:r>
    </w:p>
    <w:p>
      <w:pPr>
        <w:pStyle w:val="ListNumber"/>
      </w:pPr>
      <w:r>
        <w:t>If washing is used, measure metals in every wash to detect preferential leaching and composition drift. Drying can create hard agglomerates; compare gentle drying and redispersion strategies.</w:t>
      </w:r>
    </w:p>
    <w:p>
      <w:pPr>
        <w:pStyle w:val="ListNumber"/>
      </w:pPr>
      <w:r>
        <w:t>Accept a batch only when replicate composition, phase, BET area, microscopy, and dissolution fall within predeclared ranges.</w:t>
      </w:r>
    </w:p>
    <w:p>
      <w:pPr>
        <w:pStyle w:val="Heading1"/>
      </w:pPr>
      <w:r>
        <w:t>5. Minimum characterization package</w:t>
      </w:r>
    </w:p>
    <w:tbl>
      <w:tblPr>
        <w:tblW w:type="dxa" w:w="9360"/>
        <w:jc w:val="left"/>
        <w:tblLayout w:type="fixed"/>
        <w:tblLook w:firstColumn="1" w:firstRow="1" w:lastColumn="0" w:lastRow="0" w:noHBand="0" w:noVBand="1" w:val="04A0"/>
        <w:tblInd w:w="120" w:type="dxa"/>
      </w:tblPr>
      <w:tblGrid>
        <w:gridCol w:w="2300"/>
        <w:gridCol w:w="3300"/>
        <w:gridCol w:w="3760"/>
      </w:tblGrid>
      <w:tr>
        <w:trPr>
          <w:tblHeader w:val="true"/>
        </w:trPr>
        <w:tc>
          <w:tcPr>
            <w:tcW w:type="dxa" w:w="2300"/>
            <w:tcMar>
              <w:top w:w="80" w:type="dxa"/>
              <w:start w:w="120" w:type="dxa"/>
              <w:bottom w:w="80" w:type="dxa"/>
              <w:end w:w="120" w:type="dxa"/>
            </w:tcMar>
            <w:vAlign w:val="center"/>
            <w:shd w:fill="285A70"/>
          </w:tcPr>
          <w:p>
            <w:pPr>
              <w:jc w:val="center"/>
            </w:pPr>
            <w:r>
              <w:rPr>
                <w:rFonts w:ascii="Aptos" w:hAnsi="Aptos"/>
                <w:b/>
                <w:color w:val="FFFFFF"/>
                <w:sz w:val="17"/>
              </w:rPr>
              <w:t>Question</w:t>
            </w:r>
          </w:p>
        </w:tc>
        <w:tc>
          <w:tcPr>
            <w:tcW w:type="dxa" w:w="3300"/>
            <w:tcMar>
              <w:top w:w="80" w:type="dxa"/>
              <w:start w:w="120" w:type="dxa"/>
              <w:bottom w:w="80" w:type="dxa"/>
              <w:end w:w="120" w:type="dxa"/>
            </w:tcMar>
            <w:vAlign w:val="center"/>
            <w:shd w:fill="285A70"/>
          </w:tcPr>
          <w:p>
            <w:pPr>
              <w:jc w:val="center"/>
            </w:pPr>
            <w:r>
              <w:rPr>
                <w:rFonts w:ascii="Aptos" w:hAnsi="Aptos"/>
                <w:b/>
                <w:color w:val="FFFFFF"/>
                <w:sz w:val="17"/>
              </w:rPr>
              <w:t>Method</w:t>
            </w:r>
          </w:p>
        </w:tc>
        <w:tc>
          <w:tcPr>
            <w:tcW w:type="dxa" w:w="3760"/>
            <w:tcMar>
              <w:top w:w="80" w:type="dxa"/>
              <w:start w:w="120" w:type="dxa"/>
              <w:bottom w:w="80" w:type="dxa"/>
              <w:end w:w="120" w:type="dxa"/>
            </w:tcMar>
            <w:vAlign w:val="center"/>
            <w:shd w:fill="285A70"/>
          </w:tcPr>
          <w:p>
            <w:pPr>
              <w:jc w:val="center"/>
            </w:pPr>
            <w:r>
              <w:rPr>
                <w:rFonts w:ascii="Aptos" w:hAnsi="Aptos"/>
                <w:b/>
                <w:color w:val="FFFFFF"/>
                <w:sz w:val="17"/>
              </w:rPr>
              <w:t>Decision criterion</w:t>
            </w:r>
          </w:p>
        </w:tc>
      </w:tr>
      <w:tr>
        <w:tc>
          <w:tcPr>
            <w:tcW w:type="dxa" w:w="2300"/>
          </w:tcPr>
          <w:p>
            <w:r>
              <w:rPr>
                <w:rFonts w:ascii="Aptos" w:hAnsi="Aptos"/>
                <w:color w:val="183642"/>
                <w:sz w:val="17"/>
              </w:rPr>
              <w:t>What phases formed?</w:t>
            </w:r>
          </w:p>
        </w:tc>
        <w:tc>
          <w:tcPr>
            <w:tcW w:type="dxa" w:w="3300"/>
          </w:tcPr>
          <w:p>
            <w:r>
              <w:rPr>
                <w:rFonts w:ascii="Aptos" w:hAnsi="Aptos"/>
                <w:color w:val="183642"/>
                <w:sz w:val="17"/>
              </w:rPr>
              <w:t>Powder XRD with Rietveld refinement; Raman where useful</w:t>
            </w:r>
          </w:p>
        </w:tc>
        <w:tc>
          <w:tcPr>
            <w:tcW w:type="dxa" w:w="3760"/>
          </w:tcPr>
          <w:p>
            <w:r>
              <w:rPr>
                <w:rFonts w:ascii="Aptos" w:hAnsi="Aptos"/>
                <w:color w:val="183642"/>
                <w:sz w:val="17"/>
              </w:rPr>
              <w:t>No unidentified dominant phase; replicate phase fractions</w:t>
            </w:r>
          </w:p>
        </w:tc>
      </w:tr>
      <w:tr>
        <w:tc>
          <w:tcPr>
            <w:tcW w:type="dxa" w:w="2300"/>
            <w:shd w:fill="F7F9FA"/>
          </w:tcPr>
          <w:p>
            <w:r>
              <w:rPr>
                <w:rFonts w:ascii="Aptos" w:hAnsi="Aptos"/>
                <w:color w:val="183642"/>
                <w:sz w:val="17"/>
              </w:rPr>
              <w:t>Is it nanoscale?</w:t>
            </w:r>
          </w:p>
        </w:tc>
        <w:tc>
          <w:tcPr>
            <w:tcW w:type="dxa" w:w="3300"/>
            <w:shd w:fill="F7F9FA"/>
          </w:tcPr>
          <w:p>
            <w:r>
              <w:rPr>
                <w:rFonts w:ascii="Aptos" w:hAnsi="Aptos"/>
                <w:color w:val="183642"/>
                <w:sz w:val="17"/>
              </w:rPr>
              <w:t>TEM with statistically adequate particle counts; SEM for agglomerates</w:t>
            </w:r>
          </w:p>
        </w:tc>
        <w:tc>
          <w:tcPr>
            <w:tcW w:type="dxa" w:w="3760"/>
            <w:shd w:fill="F7F9FA"/>
          </w:tcPr>
          <w:p>
            <w:r>
              <w:rPr>
                <w:rFonts w:ascii="Aptos" w:hAnsi="Aptos"/>
                <w:color w:val="183642"/>
                <w:sz w:val="17"/>
              </w:rPr>
              <w:t>Report primary particles and agglomerates separately</w:t>
            </w:r>
          </w:p>
        </w:tc>
      </w:tr>
      <w:tr>
        <w:tc>
          <w:tcPr>
            <w:tcW w:type="dxa" w:w="2300"/>
          </w:tcPr>
          <w:p>
            <w:r>
              <w:rPr>
                <w:rFonts w:ascii="Aptos" w:hAnsi="Aptos"/>
                <w:color w:val="183642"/>
                <w:sz w:val="17"/>
              </w:rPr>
              <w:t>Is composition correct?</w:t>
            </w:r>
          </w:p>
        </w:tc>
        <w:tc>
          <w:tcPr>
            <w:tcW w:type="dxa" w:w="3300"/>
          </w:tcPr>
          <w:p>
            <w:r>
              <w:rPr>
                <w:rFonts w:ascii="Aptos" w:hAnsi="Aptos"/>
                <w:color w:val="183642"/>
                <w:sz w:val="17"/>
              </w:rPr>
              <w:t>Total digestion ICP-OES/ICP-MS; XRF as screening</w:t>
            </w:r>
          </w:p>
        </w:tc>
        <w:tc>
          <w:tcPr>
            <w:tcW w:type="dxa" w:w="3760"/>
          </w:tcPr>
          <w:p>
            <w:r>
              <w:rPr>
                <w:rFonts w:ascii="Aptos" w:hAnsi="Aptos"/>
                <w:color w:val="183642"/>
                <w:sz w:val="17"/>
              </w:rPr>
              <w:t>Metal recovery and batch homogeneity within validated limits</w:t>
            </w:r>
          </w:p>
        </w:tc>
      </w:tr>
      <w:tr>
        <w:tc>
          <w:tcPr>
            <w:tcW w:type="dxa" w:w="2300"/>
            <w:shd w:fill="F7F9FA"/>
          </w:tcPr>
          <w:p>
            <w:r>
              <w:rPr>
                <w:rFonts w:ascii="Aptos" w:hAnsi="Aptos"/>
                <w:color w:val="183642"/>
                <w:sz w:val="17"/>
              </w:rPr>
              <w:t>What oxidation states exist?</w:t>
            </w:r>
          </w:p>
        </w:tc>
        <w:tc>
          <w:tcPr>
            <w:tcW w:type="dxa" w:w="3300"/>
            <w:shd w:fill="F7F9FA"/>
          </w:tcPr>
          <w:p>
            <w:r>
              <w:rPr>
                <w:rFonts w:ascii="Aptos" w:hAnsi="Aptos"/>
                <w:color w:val="183642"/>
                <w:sz w:val="17"/>
              </w:rPr>
              <w:t>XPS; Mn/Fe-sensitive spectroscopy when needed</w:t>
            </w:r>
          </w:p>
        </w:tc>
        <w:tc>
          <w:tcPr>
            <w:tcW w:type="dxa" w:w="3760"/>
            <w:shd w:fill="F7F9FA"/>
          </w:tcPr>
          <w:p>
            <w:r>
              <w:rPr>
                <w:rFonts w:ascii="Aptos" w:hAnsi="Aptos"/>
                <w:color w:val="183642"/>
                <w:sz w:val="17"/>
              </w:rPr>
              <w:t>Oxidation-state assignment tied to dissolution and plant response</w:t>
            </w:r>
          </w:p>
        </w:tc>
      </w:tr>
      <w:tr>
        <w:tc>
          <w:tcPr>
            <w:tcW w:type="dxa" w:w="2300"/>
          </w:tcPr>
          <w:p>
            <w:r>
              <w:rPr>
                <w:rFonts w:ascii="Aptos" w:hAnsi="Aptos"/>
                <w:color w:val="183642"/>
                <w:sz w:val="17"/>
              </w:rPr>
              <w:t>Does it redisperse?</w:t>
            </w:r>
          </w:p>
        </w:tc>
        <w:tc>
          <w:tcPr>
            <w:tcW w:type="dxa" w:w="3300"/>
          </w:tcPr>
          <w:p>
            <w:r>
              <w:rPr>
                <w:rFonts w:ascii="Aptos" w:hAnsi="Aptos"/>
                <w:color w:val="183642"/>
                <w:sz w:val="17"/>
              </w:rPr>
              <w:t>DLS/laser diffraction, zeta potential, rheology, sediment height</w:t>
            </w:r>
          </w:p>
        </w:tc>
        <w:tc>
          <w:tcPr>
            <w:tcW w:type="dxa" w:w="3760"/>
          </w:tcPr>
          <w:p>
            <w:r>
              <w:rPr>
                <w:rFonts w:ascii="Aptos" w:hAnsi="Aptos"/>
                <w:color w:val="183642"/>
                <w:sz w:val="17"/>
              </w:rPr>
              <w:t>Stable or readily redispersible over intended shelf life</w:t>
            </w:r>
          </w:p>
        </w:tc>
      </w:tr>
      <w:tr>
        <w:tc>
          <w:tcPr>
            <w:tcW w:type="dxa" w:w="2300"/>
            <w:shd w:fill="F7F9FA"/>
          </w:tcPr>
          <w:p>
            <w:r>
              <w:rPr>
                <w:rFonts w:ascii="Aptos" w:hAnsi="Aptos"/>
                <w:color w:val="183642"/>
                <w:sz w:val="17"/>
              </w:rPr>
              <w:t>How fast do nutrients release?</w:t>
            </w:r>
          </w:p>
        </w:tc>
        <w:tc>
          <w:tcPr>
            <w:tcW w:type="dxa" w:w="3300"/>
            <w:shd w:fill="F7F9FA"/>
          </w:tcPr>
          <w:p>
            <w:r>
              <w:rPr>
                <w:rFonts w:ascii="Aptos" w:hAnsi="Aptos"/>
                <w:color w:val="183642"/>
                <w:sz w:val="17"/>
              </w:rPr>
              <w:t>Time-resolved dissolution in water, soil extract, and root-zone simulant</w:t>
            </w:r>
          </w:p>
        </w:tc>
        <w:tc>
          <w:tcPr>
            <w:tcW w:type="dxa" w:w="3760"/>
            <w:shd w:fill="F7F9FA"/>
          </w:tcPr>
          <w:p>
            <w:r>
              <w:rPr>
                <w:rFonts w:ascii="Aptos" w:hAnsi="Aptos"/>
                <w:color w:val="183642"/>
                <w:sz w:val="17"/>
              </w:rPr>
              <w:t>Element-specific release curve; no burst Cu</w:t>
            </w:r>
          </w:p>
        </w:tc>
      </w:tr>
      <w:tr>
        <w:tc>
          <w:tcPr>
            <w:tcW w:type="dxa" w:w="2300"/>
          </w:tcPr>
          <w:p>
            <w:r>
              <w:rPr>
                <w:rFonts w:ascii="Aptos" w:hAnsi="Aptos"/>
                <w:color w:val="183642"/>
                <w:sz w:val="17"/>
              </w:rPr>
              <w:t>Is oxidizer/fuel residue present?</w:t>
            </w:r>
          </w:p>
        </w:tc>
        <w:tc>
          <w:tcPr>
            <w:tcW w:type="dxa" w:w="3300"/>
          </w:tcPr>
          <w:p>
            <w:r>
              <w:rPr>
                <w:rFonts w:ascii="Aptos" w:hAnsi="Aptos"/>
                <w:color w:val="183642"/>
                <w:sz w:val="17"/>
              </w:rPr>
              <w:t>Ion chromatography for nitrate; CHN/TOC; DSC/TGA</w:t>
            </w:r>
          </w:p>
        </w:tc>
        <w:tc>
          <w:tcPr>
            <w:tcW w:type="dxa" w:w="3760"/>
          </w:tcPr>
          <w:p>
            <w:r>
              <w:rPr>
                <w:rFonts w:ascii="Aptos" w:hAnsi="Aptos"/>
                <w:color w:val="183642"/>
                <w:sz w:val="17"/>
              </w:rPr>
              <w:t>Below internal acceptance limit; no residual exotherm</w:t>
            </w:r>
          </w:p>
        </w:tc>
      </w:tr>
      <w:tr>
        <w:tc>
          <w:tcPr>
            <w:tcW w:type="dxa" w:w="2300"/>
            <w:shd w:fill="F7F9FA"/>
          </w:tcPr>
          <w:p>
            <w:r>
              <w:rPr>
                <w:rFonts w:ascii="Aptos" w:hAnsi="Aptos"/>
                <w:color w:val="183642"/>
                <w:sz w:val="17"/>
              </w:rPr>
              <w:t>Is it biologically safe?</w:t>
            </w:r>
          </w:p>
        </w:tc>
        <w:tc>
          <w:tcPr>
            <w:tcW w:type="dxa" w:w="3300"/>
            <w:shd w:fill="F7F9FA"/>
          </w:tcPr>
          <w:p>
            <w:r>
              <w:rPr>
                <w:rFonts w:ascii="Aptos" w:hAnsi="Aptos"/>
                <w:color w:val="183642"/>
                <w:sz w:val="17"/>
              </w:rPr>
              <w:t>Seed germination, root elongation, soil respiration, earthworm/microbial screens</w:t>
            </w:r>
          </w:p>
        </w:tc>
        <w:tc>
          <w:tcPr>
            <w:tcW w:type="dxa" w:w="3760"/>
            <w:shd w:fill="F7F9FA"/>
          </w:tcPr>
          <w:p>
            <w:r>
              <w:rPr>
                <w:rFonts w:ascii="Aptos" w:hAnsi="Aptos"/>
                <w:color w:val="183642"/>
                <w:sz w:val="17"/>
              </w:rPr>
              <w:t>No adverse effect at intended and margin doses</w:t>
            </w:r>
          </w:p>
        </w:tc>
      </w:tr>
    </w:tbl>
    <w:p>
      <w:pPr>
        <w:spacing w:after="0"/>
      </w:pPr>
    </w:p>
    <w:p>
      <w:pPr>
        <w:pStyle w:val="Heading1"/>
      </w:pPr>
      <w:r>
        <w:t>6. Developing the 20 wt% suspension</w:t>
      </w:r>
    </w:p>
    <w:p>
      <w:r>
        <w:t>A 20 wt% suspension is a concentrated stock, not automatically a field-use concentration. Metal-oxide nanoparticles commonly aggregate because of high surface energy, multivalent-ion bridging, and high ionic strength. Urea and fertilizer salts can compress the electrical double layer and destabilize a suspension that appears stable in deionized water.</w:t>
      </w:r>
    </w:p>
    <w:p>
      <w:pPr>
        <w:pStyle w:val="ListNumber"/>
      </w:pPr>
      <w:r>
        <w:t>Measure true solids content by drying a representative aliquot and confirm elemental concentration by ICP. Dose plants by mg of each element, not by an assumed powder label.</w:t>
      </w:r>
    </w:p>
    <w:p>
      <w:pPr>
        <w:pStyle w:val="ListNumber"/>
      </w:pPr>
      <w:r>
        <w:t>Screen 5, 10, 15 and 20 wt% solids. Record viscosity, yield stress, sedimentation, redispersibility, particle-size distribution and zeta potential at day 0, 1, 7, 14 and 28.</w:t>
      </w:r>
    </w:p>
    <w:p>
      <w:pPr>
        <w:pStyle w:val="ListNumber"/>
      </w:pPr>
      <w:r>
        <w:t>Screen only agriculturally acceptable dispersants at low levels, such as citrate, lignosulfonate or a suitable polycarboxylate, after checking metal complexation, phytotoxicity and local registration status. Select by data, not by visual appearance alone.</w:t>
      </w:r>
    </w:p>
    <w:p>
      <w:pPr>
        <w:pStyle w:val="ListNumber"/>
      </w:pPr>
      <w:r>
        <w:t>Use controlled high-shear mixing and, if appropriate, validated sonication during development. Avoid aerosol generation. Define an order of addition and energy input that can be reproduced at scale.</w:t>
      </w:r>
    </w:p>
    <w:p>
      <w:pPr>
        <w:pStyle w:val="ListNumber"/>
      </w:pPr>
      <w:r>
        <w:t>Test the actual dilution water. Hardness, phosphate, carbonate and pH can drive precipitation or heteroaggregation. Include nozzle-screen and drip-emitter tests if application equipment is relevant.</w:t>
      </w:r>
    </w:p>
    <w:tbl>
      <w:tblPr>
        <w:tblW w:type="dxa" w:w="9360"/>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EF5F4"/>
          </w:tcPr>
          <w:p>
            <w:r>
              <w:rPr>
                <w:rFonts w:ascii="Aptos" w:hAnsi="Aptos"/>
                <w:b/>
                <w:color w:val="2A7F79"/>
                <w:sz w:val="18"/>
              </w:rPr>
              <w:t xml:space="preserve">STORAGE RULE  </w:t>
            </w:r>
            <w:r>
              <w:rPr>
                <w:rFonts w:ascii="Aptos" w:hAnsi="Aptos"/>
                <w:color w:val="183642"/>
                <w:sz w:val="20"/>
              </w:rPr>
              <w:t>Store the nanocomposite stock separately from urea during early development. Prepare a fresh, diluted tank mix immediately before use only after a jar test confirms no flocculation, gas generation, pH excursion, or nozzle blockage.</w:t>
            </w:r>
          </w:p>
        </w:tc>
      </w:tr>
    </w:tbl>
    <w:p>
      <w:pPr>
        <w:spacing w:after="0"/>
      </w:pPr>
    </w:p>
    <w:p>
      <w:pPr>
        <w:pStyle w:val="Heading1"/>
      </w:pPr>
      <w:r>
        <w:t>7. Independent use, urea co-application, and coating</w:t>
      </w:r>
    </w:p>
    <w:tbl>
      <w:tblPr>
        <w:tblW w:type="dxa" w:w="9360"/>
        <w:jc w:val="left"/>
        <w:tblLayout w:type="fixed"/>
        <w:tblLook w:firstColumn="1" w:firstRow="1" w:lastColumn="0" w:lastRow="0" w:noHBand="0" w:noVBand="1" w:val="04A0"/>
        <w:tblInd w:w="120" w:type="dxa"/>
      </w:tblPr>
      <w:tblGrid>
        <w:gridCol w:w="1900"/>
        <w:gridCol w:w="2650"/>
        <w:gridCol w:w="2500"/>
        <w:gridCol w:w="2310"/>
      </w:tblGrid>
      <w:tr>
        <w:trPr>
          <w:tblHeader w:val="true"/>
        </w:trPr>
        <w:tc>
          <w:tcPr>
            <w:tcW w:type="dxa" w:w="1900"/>
            <w:tcMar>
              <w:top w:w="80" w:type="dxa"/>
              <w:start w:w="120" w:type="dxa"/>
              <w:bottom w:w="80" w:type="dxa"/>
              <w:end w:w="120" w:type="dxa"/>
            </w:tcMar>
            <w:vAlign w:val="center"/>
            <w:shd w:fill="285A70"/>
          </w:tcPr>
          <w:p>
            <w:pPr>
              <w:jc w:val="center"/>
            </w:pPr>
            <w:r>
              <w:rPr>
                <w:rFonts w:ascii="Aptos" w:hAnsi="Aptos"/>
                <w:b/>
                <w:color w:val="FFFFFF"/>
                <w:sz w:val="17"/>
              </w:rPr>
              <w:t>Strategy</w:t>
            </w:r>
          </w:p>
        </w:tc>
        <w:tc>
          <w:tcPr>
            <w:tcW w:type="dxa" w:w="2650"/>
            <w:tcMar>
              <w:top w:w="80" w:type="dxa"/>
              <w:start w:w="120" w:type="dxa"/>
              <w:bottom w:w="80" w:type="dxa"/>
              <w:end w:w="120" w:type="dxa"/>
            </w:tcMar>
            <w:vAlign w:val="center"/>
            <w:shd w:fill="285A70"/>
          </w:tcPr>
          <w:p>
            <w:pPr>
              <w:jc w:val="center"/>
            </w:pPr>
            <w:r>
              <w:rPr>
                <w:rFonts w:ascii="Aptos" w:hAnsi="Aptos"/>
                <w:b/>
                <w:color w:val="FFFFFF"/>
                <w:sz w:val="17"/>
              </w:rPr>
              <w:t>Scientific advantage</w:t>
            </w:r>
          </w:p>
        </w:tc>
        <w:tc>
          <w:tcPr>
            <w:tcW w:type="dxa" w:w="2500"/>
            <w:tcMar>
              <w:top w:w="80" w:type="dxa"/>
              <w:start w:w="120" w:type="dxa"/>
              <w:bottom w:w="80" w:type="dxa"/>
              <w:end w:w="120" w:type="dxa"/>
            </w:tcMar>
            <w:vAlign w:val="center"/>
            <w:shd w:fill="285A70"/>
          </w:tcPr>
          <w:p>
            <w:pPr>
              <w:jc w:val="center"/>
            </w:pPr>
            <w:r>
              <w:rPr>
                <w:rFonts w:ascii="Aptos" w:hAnsi="Aptos"/>
                <w:b/>
                <w:color w:val="FFFFFF"/>
                <w:sz w:val="17"/>
              </w:rPr>
              <w:t>Main limitation</w:t>
            </w:r>
          </w:p>
        </w:tc>
        <w:tc>
          <w:tcPr>
            <w:tcW w:type="dxa" w:w="2310"/>
            <w:tcMar>
              <w:top w:w="80" w:type="dxa"/>
              <w:start w:w="120" w:type="dxa"/>
              <w:bottom w:w="80" w:type="dxa"/>
              <w:end w:w="120" w:type="dxa"/>
            </w:tcMar>
            <w:vAlign w:val="center"/>
            <w:shd w:fill="285A70"/>
          </w:tcPr>
          <w:p>
            <w:pPr>
              <w:jc w:val="center"/>
            </w:pPr>
            <w:r>
              <w:rPr>
                <w:rFonts w:ascii="Aptos" w:hAnsi="Aptos"/>
                <w:b/>
                <w:color w:val="FFFFFF"/>
                <w:sz w:val="17"/>
              </w:rPr>
              <w:t>Recommendation</w:t>
            </w:r>
          </w:p>
        </w:tc>
      </w:tr>
      <w:tr>
        <w:tc>
          <w:tcPr>
            <w:tcW w:type="dxa" w:w="1900"/>
          </w:tcPr>
          <w:p>
            <w:r>
              <w:rPr>
                <w:rFonts w:ascii="Aptos" w:hAnsi="Aptos"/>
                <w:color w:val="183642"/>
                <w:sz w:val="17"/>
              </w:rPr>
              <w:t>Separate application</w:t>
            </w:r>
          </w:p>
        </w:tc>
        <w:tc>
          <w:tcPr>
            <w:tcW w:type="dxa" w:w="2650"/>
          </w:tcPr>
          <w:p>
            <w:r>
              <w:rPr>
                <w:rFonts w:ascii="Aptos" w:hAnsi="Aptos"/>
                <w:color w:val="183642"/>
                <w:sz w:val="17"/>
              </w:rPr>
              <w:t>Maximum control of N and micronutrient timing; simplest attribution</w:t>
            </w:r>
          </w:p>
        </w:tc>
        <w:tc>
          <w:tcPr>
            <w:tcW w:type="dxa" w:w="2500"/>
          </w:tcPr>
          <w:p>
            <w:r>
              <w:rPr>
                <w:rFonts w:ascii="Aptos" w:hAnsi="Aptos"/>
                <w:color w:val="183642"/>
                <w:sz w:val="17"/>
              </w:rPr>
              <w:t>Two application operations</w:t>
            </w:r>
          </w:p>
        </w:tc>
        <w:tc>
          <w:tcPr>
            <w:tcW w:type="dxa" w:w="2310"/>
          </w:tcPr>
          <w:p>
            <w:r>
              <w:rPr>
                <w:rFonts w:ascii="Aptos" w:hAnsi="Aptos"/>
                <w:color w:val="183642"/>
                <w:sz w:val="17"/>
              </w:rPr>
              <w:t>Best for first efficacy trials</w:t>
            </w:r>
          </w:p>
        </w:tc>
      </w:tr>
      <w:tr>
        <w:tc>
          <w:tcPr>
            <w:tcW w:type="dxa" w:w="1900"/>
            <w:shd w:fill="F7F9FA"/>
          </w:tcPr>
          <w:p>
            <w:r>
              <w:rPr>
                <w:rFonts w:ascii="Aptos" w:hAnsi="Aptos"/>
                <w:color w:val="183642"/>
                <w:sz w:val="17"/>
              </w:rPr>
              <w:t>Fresh tank mix with urea</w:t>
            </w:r>
          </w:p>
        </w:tc>
        <w:tc>
          <w:tcPr>
            <w:tcW w:type="dxa" w:w="2650"/>
            <w:shd w:fill="F7F9FA"/>
          </w:tcPr>
          <w:p>
            <w:r>
              <w:rPr>
                <w:rFonts w:ascii="Aptos" w:hAnsi="Aptos"/>
                <w:color w:val="183642"/>
                <w:sz w:val="17"/>
              </w:rPr>
              <w:t>One application; tests synergy at equal doses</w:t>
            </w:r>
          </w:p>
        </w:tc>
        <w:tc>
          <w:tcPr>
            <w:tcW w:type="dxa" w:w="2500"/>
            <w:shd w:fill="F7F9FA"/>
          </w:tcPr>
          <w:p>
            <w:r>
              <w:rPr>
                <w:rFonts w:ascii="Aptos" w:hAnsi="Aptos"/>
                <w:color w:val="183642"/>
                <w:sz w:val="17"/>
              </w:rPr>
              <w:t>Ionic-strength aggregation; pH and storage instability</w:t>
            </w:r>
          </w:p>
        </w:tc>
        <w:tc>
          <w:tcPr>
            <w:tcW w:type="dxa" w:w="2310"/>
            <w:shd w:fill="F7F9FA"/>
          </w:tcPr>
          <w:p>
            <w:r>
              <w:rPr>
                <w:rFonts w:ascii="Aptos" w:hAnsi="Aptos"/>
                <w:color w:val="183642"/>
                <w:sz w:val="17"/>
              </w:rPr>
              <w:t>Best practical development option after jar tests</w:t>
            </w:r>
          </w:p>
        </w:tc>
      </w:tr>
      <w:tr>
        <w:tc>
          <w:tcPr>
            <w:tcW w:type="dxa" w:w="1900"/>
          </w:tcPr>
          <w:p>
            <w:r>
              <w:rPr>
                <w:rFonts w:ascii="Aptos" w:hAnsi="Aptos"/>
                <w:color w:val="183642"/>
                <w:sz w:val="17"/>
              </w:rPr>
              <w:t>Pre-blended liquid concentrate</w:t>
            </w:r>
          </w:p>
        </w:tc>
        <w:tc>
          <w:tcPr>
            <w:tcW w:type="dxa" w:w="2650"/>
          </w:tcPr>
          <w:p>
            <w:r>
              <w:rPr>
                <w:rFonts w:ascii="Aptos" w:hAnsi="Aptos"/>
                <w:color w:val="183642"/>
                <w:sz w:val="17"/>
              </w:rPr>
              <w:t>Convenient product concept</w:t>
            </w:r>
          </w:p>
        </w:tc>
        <w:tc>
          <w:tcPr>
            <w:tcW w:type="dxa" w:w="2500"/>
          </w:tcPr>
          <w:p>
            <w:r>
              <w:rPr>
                <w:rFonts w:ascii="Aptos" w:hAnsi="Aptos"/>
                <w:color w:val="183642"/>
                <w:sz w:val="17"/>
              </w:rPr>
              <w:t>High risk of sedimentation, complexation and microbial/storage change</w:t>
            </w:r>
          </w:p>
        </w:tc>
        <w:tc>
          <w:tcPr>
            <w:tcW w:type="dxa" w:w="2310"/>
          </w:tcPr>
          <w:p>
            <w:r>
              <w:rPr>
                <w:rFonts w:ascii="Aptos" w:hAnsi="Aptos"/>
                <w:color w:val="183642"/>
                <w:sz w:val="17"/>
              </w:rPr>
              <w:t>Do not pursue until stability data exist</w:t>
            </w:r>
          </w:p>
        </w:tc>
      </w:tr>
      <w:tr>
        <w:tc>
          <w:tcPr>
            <w:tcW w:type="dxa" w:w="1900"/>
            <w:shd w:fill="F7F9FA"/>
          </w:tcPr>
          <w:p>
            <w:r>
              <w:rPr>
                <w:rFonts w:ascii="Aptos" w:hAnsi="Aptos"/>
                <w:color w:val="183642"/>
                <w:sz w:val="17"/>
              </w:rPr>
              <w:t>Nanocomposite-coated urea</w:t>
            </w:r>
          </w:p>
        </w:tc>
        <w:tc>
          <w:tcPr>
            <w:tcW w:type="dxa" w:w="2650"/>
            <w:shd w:fill="F7F9FA"/>
          </w:tcPr>
          <w:p>
            <w:r>
              <w:rPr>
                <w:rFonts w:ascii="Aptos" w:hAnsi="Aptos"/>
                <w:color w:val="183642"/>
                <w:sz w:val="17"/>
              </w:rPr>
              <w:t>Potential coordinated N + micronutrient delivery</w:t>
            </w:r>
          </w:p>
        </w:tc>
        <w:tc>
          <w:tcPr>
            <w:tcW w:type="dxa" w:w="2500"/>
            <w:shd w:fill="F7F9FA"/>
          </w:tcPr>
          <w:p>
            <w:r>
              <w:rPr>
                <w:rFonts w:ascii="Aptos" w:hAnsi="Aptos"/>
                <w:color w:val="183642"/>
                <w:sz w:val="17"/>
              </w:rPr>
              <w:t>Requires coating equipment, binder, abrasion/dust and release validation</w:t>
            </w:r>
          </w:p>
        </w:tc>
        <w:tc>
          <w:tcPr>
            <w:tcW w:type="dxa" w:w="2310"/>
            <w:shd w:fill="F7F9FA"/>
          </w:tcPr>
          <w:p>
            <w:r>
              <w:rPr>
                <w:rFonts w:ascii="Aptos" w:hAnsi="Aptos"/>
                <w:color w:val="183642"/>
                <w:sz w:val="17"/>
              </w:rPr>
              <w:t>Later product-development stage</w:t>
            </w:r>
          </w:p>
        </w:tc>
      </w:tr>
    </w:tbl>
    <w:p>
      <w:pPr>
        <w:spacing w:after="0"/>
      </w:pPr>
    </w:p>
    <w:p>
      <w:pPr>
        <w:pStyle w:val="Heading2"/>
      </w:pPr>
      <w:r>
        <w:t>7.1 Point-of-use mixture with urea</w:t>
      </w:r>
    </w:p>
    <w:p>
      <w:r>
        <w:t>Prepare urea solution in the bulk water first, verify complete dissolution and temperature recovery, then add a pre-diluted nanocomposite suspension under agitation. Use the mixture promptly. The laboratory should define a maximum hold time from particle-size and sedimentation data. Compare the same nutrient doses applied together and separately; otherwise an apparent synergy may simply reflect a higher nutrient dose.</w:t>
      </w:r>
    </w:p>
    <w:p>
      <w:pPr>
        <w:pStyle w:val="Heading2"/>
      </w:pPr>
      <w:r>
        <w:t>7.2 Coated-urea development</w:t>
      </w:r>
    </w:p>
    <w:p>
      <w:r>
        <w:t>Published ZnO-coated urea studies demonstrate feasibility, but they do not validate this six-metal composite. Begin with low coating loadings in a research design, for example 0.25%, 0.5% and 1.0% composite by urea mass, and include uncoated urea, binder-only urea, and soluble-micronutrient controls. These are screening levels, not use recommendations. Select an agriculturally acceptable binder, apply in contained coating equipment, dry without nitrate-fuel contact, and measure coating uniformity, attrition, dust, crushing strength, dissolution and N release. The SCS powder must contain no residual oxidizer or fuel before any contact with urea granules.</w:t>
      </w:r>
    </w:p>
    <w:p>
      <w:pPr>
        <w:pStyle w:val="Heading1"/>
      </w:pPr>
      <w:r>
        <w:t>8. Plant-use protocol</w:t>
      </w:r>
    </w:p>
    <w:p>
      <w:r>
        <w:t>Soil or substrate drench is the preferred first route. It reduces inhalation and leaf-burn risk and allows the root zone to buffer release. Foliar use should be a separate study with much lower exposure, droplet/nozzle characterization, leaf residue analysis and food-crop risk assessment.</w:t>
      </w:r>
    </w:p>
    <w:p>
      <w:pPr>
        <w:pStyle w:val="Heading2"/>
      </w:pPr>
      <w:r>
        <w:t>8.1 Greenhouse dose-finding design</w:t>
      </w:r>
    </w:p>
    <w:tbl>
      <w:tblPr>
        <w:tblW w:type="dxa" w:w="9360"/>
        <w:jc w:val="left"/>
        <w:tblLayout w:type="fixed"/>
        <w:tblLook w:firstColumn="1" w:firstRow="1" w:lastColumn="0" w:lastRow="0" w:noHBand="0" w:noVBand="1" w:val="04A0"/>
        <w:tblInd w:w="120" w:type="dxa"/>
      </w:tblPr>
      <w:tblGrid>
        <w:gridCol w:w="3400"/>
        <w:gridCol w:w="5960"/>
      </w:tblGrid>
      <w:tr>
        <w:trPr>
          <w:tblHeader w:val="true"/>
        </w:trPr>
        <w:tc>
          <w:tcPr>
            <w:tcW w:type="dxa" w:w="3400"/>
            <w:tcMar>
              <w:top w:w="80" w:type="dxa"/>
              <w:start w:w="120" w:type="dxa"/>
              <w:bottom w:w="80" w:type="dxa"/>
              <w:end w:w="120" w:type="dxa"/>
            </w:tcMar>
            <w:vAlign w:val="center"/>
            <w:shd w:fill="285A70"/>
          </w:tcPr>
          <w:p>
            <w:pPr>
              <w:jc w:val="center"/>
            </w:pPr>
            <w:r>
              <w:rPr>
                <w:rFonts w:ascii="Aptos" w:hAnsi="Aptos"/>
                <w:b/>
                <w:color w:val="FFFFFF"/>
                <w:sz w:val="17"/>
              </w:rPr>
              <w:t>Treatment</w:t>
            </w:r>
          </w:p>
        </w:tc>
        <w:tc>
          <w:tcPr>
            <w:tcW w:type="dxa" w:w="5960"/>
            <w:tcMar>
              <w:top w:w="80" w:type="dxa"/>
              <w:start w:w="120" w:type="dxa"/>
              <w:bottom w:w="80" w:type="dxa"/>
              <w:end w:w="120" w:type="dxa"/>
            </w:tcMar>
            <w:vAlign w:val="center"/>
            <w:shd w:fill="285A70"/>
          </w:tcPr>
          <w:p>
            <w:pPr>
              <w:jc w:val="center"/>
            </w:pPr>
            <w:r>
              <w:rPr>
                <w:rFonts w:ascii="Aptos" w:hAnsi="Aptos"/>
                <w:b/>
                <w:color w:val="FFFFFF"/>
                <w:sz w:val="17"/>
              </w:rPr>
              <w:t>Purpose</w:t>
            </w:r>
          </w:p>
        </w:tc>
      </w:tr>
      <w:tr>
        <w:tc>
          <w:tcPr>
            <w:tcW w:type="dxa" w:w="3400"/>
          </w:tcPr>
          <w:p>
            <w:r>
              <w:rPr>
                <w:rFonts w:ascii="Aptos" w:hAnsi="Aptos"/>
                <w:color w:val="183642"/>
                <w:sz w:val="17"/>
              </w:rPr>
              <w:t>Water/vehicle control</w:t>
            </w:r>
          </w:p>
        </w:tc>
        <w:tc>
          <w:tcPr>
            <w:tcW w:type="dxa" w:w="5960"/>
          </w:tcPr>
          <w:p>
            <w:r>
              <w:rPr>
                <w:rFonts w:ascii="Aptos" w:hAnsi="Aptos"/>
                <w:color w:val="183642"/>
                <w:sz w:val="17"/>
              </w:rPr>
              <w:t>Baseline growth and dispersant effect</w:t>
            </w:r>
          </w:p>
        </w:tc>
      </w:tr>
      <w:tr>
        <w:tc>
          <w:tcPr>
            <w:tcW w:type="dxa" w:w="3400"/>
            <w:shd w:fill="F7F9FA"/>
          </w:tcPr>
          <w:p>
            <w:r>
              <w:rPr>
                <w:rFonts w:ascii="Aptos" w:hAnsi="Aptos"/>
                <w:color w:val="183642"/>
                <w:sz w:val="17"/>
              </w:rPr>
              <w:t>Recommended conventional fertilizer</w:t>
            </w:r>
          </w:p>
        </w:tc>
        <w:tc>
          <w:tcPr>
            <w:tcW w:type="dxa" w:w="5960"/>
            <w:shd w:fill="F7F9FA"/>
          </w:tcPr>
          <w:p>
            <w:r>
              <w:rPr>
                <w:rFonts w:ascii="Aptos" w:hAnsi="Aptos"/>
                <w:color w:val="183642"/>
                <w:sz w:val="17"/>
              </w:rPr>
              <w:t>Agronomic benchmark</w:t>
            </w:r>
          </w:p>
        </w:tc>
      </w:tr>
      <w:tr>
        <w:tc>
          <w:tcPr>
            <w:tcW w:type="dxa" w:w="3400"/>
          </w:tcPr>
          <w:p>
            <w:r>
              <w:rPr>
                <w:rFonts w:ascii="Aptos" w:hAnsi="Aptos"/>
                <w:color w:val="183642"/>
                <w:sz w:val="17"/>
              </w:rPr>
              <w:t>Urea alone</w:t>
            </w:r>
          </w:p>
        </w:tc>
        <w:tc>
          <w:tcPr>
            <w:tcW w:type="dxa" w:w="5960"/>
          </w:tcPr>
          <w:p>
            <w:r>
              <w:rPr>
                <w:rFonts w:ascii="Aptos" w:hAnsi="Aptos"/>
                <w:color w:val="183642"/>
                <w:sz w:val="17"/>
              </w:rPr>
              <w:t>Nitrogen benchmark</w:t>
            </w:r>
          </w:p>
        </w:tc>
      </w:tr>
      <w:tr>
        <w:tc>
          <w:tcPr>
            <w:tcW w:type="dxa" w:w="3400"/>
            <w:shd w:fill="F7F9FA"/>
          </w:tcPr>
          <w:p>
            <w:r>
              <w:rPr>
                <w:rFonts w:ascii="Aptos" w:hAnsi="Aptos"/>
                <w:color w:val="183642"/>
                <w:sz w:val="17"/>
              </w:rPr>
              <w:t>Soluble metal-ion mix + urea</w:t>
            </w:r>
          </w:p>
        </w:tc>
        <w:tc>
          <w:tcPr>
            <w:tcW w:type="dxa" w:w="5960"/>
            <w:shd w:fill="F7F9FA"/>
          </w:tcPr>
          <w:p>
            <w:r>
              <w:rPr>
                <w:rFonts w:ascii="Aptos" w:hAnsi="Aptos"/>
                <w:color w:val="183642"/>
                <w:sz w:val="17"/>
              </w:rPr>
              <w:t>Equal-element ionic control</w:t>
            </w:r>
          </w:p>
        </w:tc>
      </w:tr>
      <w:tr>
        <w:tc>
          <w:tcPr>
            <w:tcW w:type="dxa" w:w="3400"/>
          </w:tcPr>
          <w:p>
            <w:r>
              <w:rPr>
                <w:rFonts w:ascii="Aptos" w:hAnsi="Aptos"/>
                <w:color w:val="183642"/>
                <w:sz w:val="17"/>
              </w:rPr>
              <w:t>Physical oxide premix + urea</w:t>
            </w:r>
          </w:p>
        </w:tc>
        <w:tc>
          <w:tcPr>
            <w:tcW w:type="dxa" w:w="5960"/>
          </w:tcPr>
          <w:p>
            <w:r>
              <w:rPr>
                <w:rFonts w:ascii="Aptos" w:hAnsi="Aptos"/>
                <w:color w:val="183642"/>
                <w:sz w:val="17"/>
              </w:rPr>
              <w:t>Tests effect of SCS-created phases</w:t>
            </w:r>
          </w:p>
        </w:tc>
      </w:tr>
      <w:tr>
        <w:tc>
          <w:tcPr>
            <w:tcW w:type="dxa" w:w="3400"/>
            <w:shd w:fill="F7F9FA"/>
          </w:tcPr>
          <w:p>
            <w:r>
              <w:rPr>
                <w:rFonts w:ascii="Aptos" w:hAnsi="Aptos"/>
                <w:color w:val="183642"/>
                <w:sz w:val="17"/>
              </w:rPr>
              <w:t>SCS composite alone</w:t>
            </w:r>
          </w:p>
        </w:tc>
        <w:tc>
          <w:tcPr>
            <w:tcW w:type="dxa" w:w="5960"/>
            <w:shd w:fill="F7F9FA"/>
          </w:tcPr>
          <w:p>
            <w:r>
              <w:rPr>
                <w:rFonts w:ascii="Aptos" w:hAnsi="Aptos"/>
                <w:color w:val="183642"/>
                <w:sz w:val="17"/>
              </w:rPr>
              <w:t>Separates micronutrient effect from N</w:t>
            </w:r>
          </w:p>
        </w:tc>
      </w:tr>
      <w:tr>
        <w:tc>
          <w:tcPr>
            <w:tcW w:type="dxa" w:w="3400"/>
          </w:tcPr>
          <w:p>
            <w:r>
              <w:rPr>
                <w:rFonts w:ascii="Aptos" w:hAnsi="Aptos"/>
                <w:color w:val="183642"/>
                <w:sz w:val="17"/>
              </w:rPr>
              <w:t>SCS composite + urea, separate timing</w:t>
            </w:r>
          </w:p>
        </w:tc>
        <w:tc>
          <w:tcPr>
            <w:tcW w:type="dxa" w:w="5960"/>
          </w:tcPr>
          <w:p>
            <w:r>
              <w:rPr>
                <w:rFonts w:ascii="Aptos" w:hAnsi="Aptos"/>
                <w:color w:val="183642"/>
                <w:sz w:val="17"/>
              </w:rPr>
              <w:t>Tests timing and interaction</w:t>
            </w:r>
          </w:p>
        </w:tc>
      </w:tr>
      <w:tr>
        <w:tc>
          <w:tcPr>
            <w:tcW w:type="dxa" w:w="3400"/>
            <w:shd w:fill="F7F9FA"/>
          </w:tcPr>
          <w:p>
            <w:r>
              <w:rPr>
                <w:rFonts w:ascii="Aptos" w:hAnsi="Aptos"/>
                <w:color w:val="183642"/>
                <w:sz w:val="17"/>
              </w:rPr>
              <w:t>Fresh SCS composite/urea tank mix</w:t>
            </w:r>
          </w:p>
        </w:tc>
        <w:tc>
          <w:tcPr>
            <w:tcW w:type="dxa" w:w="5960"/>
            <w:shd w:fill="F7F9FA"/>
          </w:tcPr>
          <w:p>
            <w:r>
              <w:rPr>
                <w:rFonts w:ascii="Aptos" w:hAnsi="Aptos"/>
                <w:color w:val="183642"/>
                <w:sz w:val="17"/>
              </w:rPr>
              <w:t>Tests operational co-application</w:t>
            </w:r>
          </w:p>
        </w:tc>
      </w:tr>
    </w:tbl>
    <w:p>
      <w:pPr>
        <w:spacing w:after="0"/>
      </w:pPr>
    </w:p>
    <w:p>
      <w:r>
        <w:t>For the first range-finding study, a cautious total-composite series such as 5, 10, 25 and 50 mg/L in the applied solution can identify gross toxicity, but the scientifically meaningful quantities are the resulting mg/L and mg/pot of Cu, Zn, Mn, Fe, Mg and Ca measured by ICP. These concentrations are research starting points, not field recommendations. Include at least one higher “margin” dose only under controlled greenhouse containment, and stop escalating when root elongation, chlorophyll, biomass or soil respiration declines.</w:t>
      </w:r>
    </w:p>
    <w:p>
      <w:pPr>
        <w:pStyle w:val="ListBullet"/>
      </w:pPr>
      <w:r>
        <w:t>Primary endpoints: germination, root length, shoot/root dry mass, chlorophyll index, visual injury, tissue nutrient concentration, and yield component appropriate to the crop.</w:t>
      </w:r>
    </w:p>
    <w:p>
      <w:pPr>
        <w:pStyle w:val="ListBullet"/>
      </w:pPr>
      <w:r>
        <w:t>Mechanistic endpoints: photosynthetic efficiency, antioxidant enzymes, oxidative-stress markers, rhizosphere pH, available soil nutrients, microbial respiration, and residual metals in soil.</w:t>
      </w:r>
    </w:p>
    <w:p>
      <w:pPr>
        <w:pStyle w:val="ListBullet"/>
      </w:pPr>
      <w:r>
        <w:t>Nanoparticle fate: dissolved vs. particulate fraction, tissue localization where justified, and mass balance among plant, soil and leachate.</w:t>
      </w:r>
    </w:p>
    <w:p>
      <w:r>
        <w:t>Advance only a dose that improves at least one agronomic endpoint without statistically significant injury, excessive tissue Cu/Zn/Mn, microbial suppression, or unacceptable soil accumulation. Confirm in a second soil type and then in a field plot under local regulatory oversight.</w:t>
      </w:r>
    </w:p>
    <w:p>
      <w:pPr>
        <w:pStyle w:val="Heading1"/>
      </w:pPr>
      <w:r>
        <w:t>9. Interpretation: how the composite could help plants</w:t>
      </w:r>
    </w:p>
    <w:p>
      <w:r>
        <w:t>Potential benefit arises from corrected deficiencies and controlled ion release, not from “nano” size by itself. Mg supports chlorophyll; Fe supports electron transport and chlorophyll formation; Zn supports enzymes and growth regulation; Mn participates in photosystem II and antioxidant enzymes; Cu supports redox enzymes and lignification; Ca supports cell walls, membranes and signaling. A porous high-area oxide may dissolve gradually or interact strongly with roots. However, ferrite formation can also lock nutrients into sparingly soluble phases, while nanoscale surfaces can generate reactive oxygen species. The same material can stimulate growth at a low dose and inhibit it at a higher dose—a hormetic response commonly reported for metal-oxide nanoparticles.</w:t>
      </w:r>
    </w:p>
    <w:p>
      <w:r>
        <w:t>The strongest evidence of fertilizer action is therefore a chain: characterized material → measured dissolution/speciation → improved plant nutrient status → improved growth or yield → acceptable environmental fate. Biomass alone is insufficient because stress can transiently alter growth and because antimicrobial particles may change the rhizosphere.</w:t>
      </w:r>
    </w:p>
    <w:p>
      <w:pPr>
        <w:pStyle w:val="Heading1"/>
      </w:pPr>
      <w:r>
        <w:t>10. Decision gates and failure modes</w:t>
      </w:r>
    </w:p>
    <w:tbl>
      <w:tblPr>
        <w:tblW w:type="dxa" w:w="9360"/>
        <w:jc w:val="left"/>
        <w:tblLayout w:type="fixed"/>
        <w:tblLook w:firstColumn="1" w:firstRow="1" w:lastColumn="0" w:lastRow="0" w:noHBand="0" w:noVBand="1" w:val="04A0"/>
        <w:tblInd w:w="120" w:type="dxa"/>
      </w:tblPr>
      <w:tblGrid>
        <w:gridCol w:w="1800"/>
        <w:gridCol w:w="3600"/>
        <w:gridCol w:w="3960"/>
      </w:tblGrid>
      <w:tr>
        <w:trPr>
          <w:tblHeader w:val="true"/>
        </w:trPr>
        <w:tc>
          <w:tcPr>
            <w:tcW w:type="dxa" w:w="1800"/>
            <w:tcMar>
              <w:top w:w="80" w:type="dxa"/>
              <w:start w:w="120" w:type="dxa"/>
              <w:bottom w:w="80" w:type="dxa"/>
              <w:end w:w="120" w:type="dxa"/>
            </w:tcMar>
            <w:vAlign w:val="center"/>
            <w:shd w:fill="285A70"/>
          </w:tcPr>
          <w:p>
            <w:pPr>
              <w:jc w:val="center"/>
            </w:pPr>
            <w:r>
              <w:rPr>
                <w:rFonts w:ascii="Aptos" w:hAnsi="Aptos"/>
                <w:b/>
                <w:color w:val="FFFFFF"/>
                <w:sz w:val="17"/>
              </w:rPr>
              <w:t>Gate</w:t>
            </w:r>
          </w:p>
        </w:tc>
        <w:tc>
          <w:tcPr>
            <w:tcW w:type="dxa" w:w="3600"/>
            <w:tcMar>
              <w:top w:w="80" w:type="dxa"/>
              <w:start w:w="120" w:type="dxa"/>
              <w:bottom w:w="80" w:type="dxa"/>
              <w:end w:w="120" w:type="dxa"/>
            </w:tcMar>
            <w:vAlign w:val="center"/>
            <w:shd w:fill="285A70"/>
          </w:tcPr>
          <w:p>
            <w:pPr>
              <w:jc w:val="center"/>
            </w:pPr>
            <w:r>
              <w:rPr>
                <w:rFonts w:ascii="Aptos" w:hAnsi="Aptos"/>
                <w:b/>
                <w:color w:val="FFFFFF"/>
                <w:sz w:val="17"/>
              </w:rPr>
              <w:t>Pass evidence</w:t>
            </w:r>
          </w:p>
        </w:tc>
        <w:tc>
          <w:tcPr>
            <w:tcW w:type="dxa" w:w="3960"/>
            <w:tcMar>
              <w:top w:w="80" w:type="dxa"/>
              <w:start w:w="120" w:type="dxa"/>
              <w:bottom w:w="80" w:type="dxa"/>
              <w:end w:w="120" w:type="dxa"/>
            </w:tcMar>
            <w:vAlign w:val="center"/>
            <w:shd w:fill="285A70"/>
          </w:tcPr>
          <w:p>
            <w:pPr>
              <w:jc w:val="center"/>
            </w:pPr>
            <w:r>
              <w:rPr>
                <w:rFonts w:ascii="Aptos" w:hAnsi="Aptos"/>
                <w:b/>
                <w:color w:val="FFFFFF"/>
                <w:sz w:val="17"/>
              </w:rPr>
              <w:t>Typical failure response</w:t>
            </w:r>
          </w:p>
        </w:tc>
      </w:tr>
      <w:tr>
        <w:tc>
          <w:tcPr>
            <w:tcW w:type="dxa" w:w="1800"/>
          </w:tcPr>
          <w:p>
            <w:r>
              <w:rPr>
                <w:rFonts w:ascii="Aptos" w:hAnsi="Aptos"/>
                <w:color w:val="183642"/>
                <w:sz w:val="17"/>
              </w:rPr>
              <w:t>Thermal safety</w:t>
            </w:r>
          </w:p>
        </w:tc>
        <w:tc>
          <w:tcPr>
            <w:tcW w:type="dxa" w:w="3600"/>
          </w:tcPr>
          <w:p>
            <w:r>
              <w:rPr>
                <w:rFonts w:ascii="Aptos" w:hAnsi="Aptos"/>
                <w:color w:val="183642"/>
                <w:sz w:val="17"/>
              </w:rPr>
              <w:t>No uncontrolled exotherm in approved calorimetric window</w:t>
            </w:r>
          </w:p>
        </w:tc>
        <w:tc>
          <w:tcPr>
            <w:tcW w:type="dxa" w:w="3960"/>
          </w:tcPr>
          <w:p>
            <w:r>
              <w:rPr>
                <w:rFonts w:ascii="Aptos" w:hAnsi="Aptos"/>
                <w:color w:val="183642"/>
                <w:sz w:val="17"/>
              </w:rPr>
              <w:t>Reduce scale; change composition/fuel; remove AN</w:t>
            </w:r>
          </w:p>
        </w:tc>
      </w:tr>
      <w:tr>
        <w:tc>
          <w:tcPr>
            <w:tcW w:type="dxa" w:w="1800"/>
            <w:shd w:fill="F7F9FA"/>
          </w:tcPr>
          <w:p>
            <w:r>
              <w:rPr>
                <w:rFonts w:ascii="Aptos" w:hAnsi="Aptos"/>
                <w:color w:val="183642"/>
                <w:sz w:val="17"/>
              </w:rPr>
              <w:t>Material identity</w:t>
            </w:r>
          </w:p>
        </w:tc>
        <w:tc>
          <w:tcPr>
            <w:tcW w:type="dxa" w:w="3600"/>
            <w:shd w:fill="F7F9FA"/>
          </w:tcPr>
          <w:p>
            <w:r>
              <w:rPr>
                <w:rFonts w:ascii="Aptos" w:hAnsi="Aptos"/>
                <w:color w:val="183642"/>
                <w:sz w:val="17"/>
              </w:rPr>
              <w:t>Reproducible phases, composition and particle statistics</w:t>
            </w:r>
          </w:p>
        </w:tc>
        <w:tc>
          <w:tcPr>
            <w:tcW w:type="dxa" w:w="3960"/>
            <w:shd w:fill="F7F9FA"/>
          </w:tcPr>
          <w:p>
            <w:r>
              <w:rPr>
                <w:rFonts w:ascii="Aptos" w:hAnsi="Aptos"/>
                <w:color w:val="183642"/>
                <w:sz w:val="17"/>
              </w:rPr>
              <w:t>Return to binary controls and process DOE</w:t>
            </w:r>
          </w:p>
        </w:tc>
      </w:tr>
      <w:tr>
        <w:tc>
          <w:tcPr>
            <w:tcW w:type="dxa" w:w="1800"/>
          </w:tcPr>
          <w:p>
            <w:r>
              <w:rPr>
                <w:rFonts w:ascii="Aptos" w:hAnsi="Aptos"/>
                <w:color w:val="183642"/>
                <w:sz w:val="17"/>
              </w:rPr>
              <w:t>Suspension quality</w:t>
            </w:r>
          </w:p>
        </w:tc>
        <w:tc>
          <w:tcPr>
            <w:tcW w:type="dxa" w:w="3600"/>
          </w:tcPr>
          <w:p>
            <w:r>
              <w:rPr>
                <w:rFonts w:ascii="Aptos" w:hAnsi="Aptos"/>
                <w:color w:val="183642"/>
                <w:sz w:val="17"/>
              </w:rPr>
              <w:t>Redispersible, dose-uniform, application-compatible</w:t>
            </w:r>
          </w:p>
        </w:tc>
        <w:tc>
          <w:tcPr>
            <w:tcW w:type="dxa" w:w="3960"/>
          </w:tcPr>
          <w:p>
            <w:r>
              <w:rPr>
                <w:rFonts w:ascii="Aptos" w:hAnsi="Aptos"/>
                <w:color w:val="183642"/>
                <w:sz w:val="17"/>
              </w:rPr>
              <w:t>Change solids level/dispersant/mixing order</w:t>
            </w:r>
          </w:p>
        </w:tc>
      </w:tr>
      <w:tr>
        <w:tc>
          <w:tcPr>
            <w:tcW w:type="dxa" w:w="1800"/>
            <w:shd w:fill="F7F9FA"/>
          </w:tcPr>
          <w:p>
            <w:r>
              <w:rPr>
                <w:rFonts w:ascii="Aptos" w:hAnsi="Aptos"/>
                <w:color w:val="183642"/>
                <w:sz w:val="17"/>
              </w:rPr>
              <w:t>Nutrient release</w:t>
            </w:r>
          </w:p>
        </w:tc>
        <w:tc>
          <w:tcPr>
            <w:tcW w:type="dxa" w:w="3600"/>
            <w:shd w:fill="F7F9FA"/>
          </w:tcPr>
          <w:p>
            <w:r>
              <w:rPr>
                <w:rFonts w:ascii="Aptos" w:hAnsi="Aptos"/>
                <w:color w:val="183642"/>
                <w:sz w:val="17"/>
              </w:rPr>
              <w:t>Measurable, balanced release without Cu burst</w:t>
            </w:r>
          </w:p>
        </w:tc>
        <w:tc>
          <w:tcPr>
            <w:tcW w:type="dxa" w:w="3960"/>
            <w:shd w:fill="F7F9FA"/>
          </w:tcPr>
          <w:p>
            <w:r>
              <w:rPr>
                <w:rFonts w:ascii="Aptos" w:hAnsi="Aptos"/>
                <w:color w:val="183642"/>
                <w:sz w:val="17"/>
              </w:rPr>
              <w:t>Adjust phase composition or abandon one-pot route</w:t>
            </w:r>
          </w:p>
        </w:tc>
      </w:tr>
      <w:tr>
        <w:tc>
          <w:tcPr>
            <w:tcW w:type="dxa" w:w="1800"/>
          </w:tcPr>
          <w:p>
            <w:r>
              <w:rPr>
                <w:rFonts w:ascii="Aptos" w:hAnsi="Aptos"/>
                <w:color w:val="183642"/>
                <w:sz w:val="17"/>
              </w:rPr>
              <w:t>Plant safety</w:t>
            </w:r>
          </w:p>
        </w:tc>
        <w:tc>
          <w:tcPr>
            <w:tcW w:type="dxa" w:w="3600"/>
          </w:tcPr>
          <w:p>
            <w:r>
              <w:rPr>
                <w:rFonts w:ascii="Aptos" w:hAnsi="Aptos"/>
                <w:color w:val="183642"/>
                <w:sz w:val="17"/>
              </w:rPr>
              <w:t>No injury at intended dose plus safety margin</w:t>
            </w:r>
          </w:p>
        </w:tc>
        <w:tc>
          <w:tcPr>
            <w:tcW w:type="dxa" w:w="3960"/>
          </w:tcPr>
          <w:p>
            <w:r>
              <w:rPr>
                <w:rFonts w:ascii="Aptos" w:hAnsi="Aptos"/>
                <w:color w:val="183642"/>
                <w:sz w:val="17"/>
              </w:rPr>
              <w:t>Lower dose; separate elements; change route</w:t>
            </w:r>
          </w:p>
        </w:tc>
      </w:tr>
      <w:tr>
        <w:tc>
          <w:tcPr>
            <w:tcW w:type="dxa" w:w="1800"/>
            <w:shd w:fill="F7F9FA"/>
          </w:tcPr>
          <w:p>
            <w:r>
              <w:rPr>
                <w:rFonts w:ascii="Aptos" w:hAnsi="Aptos"/>
                <w:color w:val="183642"/>
                <w:sz w:val="17"/>
              </w:rPr>
              <w:t>Agronomic efficacy</w:t>
            </w:r>
          </w:p>
        </w:tc>
        <w:tc>
          <w:tcPr>
            <w:tcW w:type="dxa" w:w="3600"/>
            <w:shd w:fill="F7F9FA"/>
          </w:tcPr>
          <w:p>
            <w:r>
              <w:rPr>
                <w:rFonts w:ascii="Aptos" w:hAnsi="Aptos"/>
                <w:color w:val="183642"/>
                <w:sz w:val="17"/>
              </w:rPr>
              <w:t>Benefit vs equal-element soluble and physical-mixture controls</w:t>
            </w:r>
          </w:p>
        </w:tc>
        <w:tc>
          <w:tcPr>
            <w:tcW w:type="dxa" w:w="3960"/>
            <w:shd w:fill="F7F9FA"/>
          </w:tcPr>
          <w:p>
            <w:r>
              <w:rPr>
                <w:rFonts w:ascii="Aptos" w:hAnsi="Aptos"/>
                <w:color w:val="183642"/>
                <w:sz w:val="17"/>
              </w:rPr>
              <w:t>Do not claim nano advantage</w:t>
            </w:r>
          </w:p>
        </w:tc>
      </w:tr>
      <w:tr>
        <w:tc>
          <w:tcPr>
            <w:tcW w:type="dxa" w:w="1800"/>
          </w:tcPr>
          <w:p>
            <w:r>
              <w:rPr>
                <w:rFonts w:ascii="Aptos" w:hAnsi="Aptos"/>
                <w:color w:val="183642"/>
                <w:sz w:val="17"/>
              </w:rPr>
              <w:t>Environmental acceptability</w:t>
            </w:r>
          </w:p>
        </w:tc>
        <w:tc>
          <w:tcPr>
            <w:tcW w:type="dxa" w:w="3600"/>
          </w:tcPr>
          <w:p>
            <w:r>
              <w:rPr>
                <w:rFonts w:ascii="Aptos" w:hAnsi="Aptos"/>
                <w:color w:val="183642"/>
                <w:sz w:val="17"/>
              </w:rPr>
              <w:t>No unacceptable soil/leachate/microbial effect</w:t>
            </w:r>
          </w:p>
        </w:tc>
        <w:tc>
          <w:tcPr>
            <w:tcW w:type="dxa" w:w="3960"/>
          </w:tcPr>
          <w:p>
            <w:r>
              <w:rPr>
                <w:rFonts w:ascii="Aptos" w:hAnsi="Aptos"/>
                <w:color w:val="183642"/>
                <w:sz w:val="17"/>
              </w:rPr>
              <w:t>Reformulate or stop development</w:t>
            </w:r>
          </w:p>
        </w:tc>
      </w:tr>
    </w:tbl>
    <w:p>
      <w:pPr>
        <w:spacing w:after="0"/>
      </w:pPr>
    </w:p>
    <w:p>
      <w:pPr>
        <w:pStyle w:val="Heading1"/>
      </w:pPr>
      <w:r>
        <w:t>11. Literature synthesis: 42 directly relevant research results</w:t>
      </w:r>
    </w:p>
    <w:p>
      <w:r>
        <w:t>The literature supports SCS as a versatile route and supports individual metal-oxide nanoparticles as plant nutrient treatments, but no located study validates the exact Mg–Fe–Zn–Cu–Ca–Mn nitrate/sucrose composite proposed here. The evidence must be transferred cautiously. Links below lead to the article, abstract, or full text.</w:t>
      </w:r>
    </w:p>
    <w:p>
      <w:pPr>
        <w:spacing w:after="100"/>
        <w:ind w:left="259" w:hanging="259"/>
      </w:pPr>
      <w:r>
        <w:rPr>
          <w:rFonts w:ascii="Aptos" w:hAnsi="Aptos"/>
          <w:b/>
          <w:color w:val="183642"/>
          <w:sz w:val="18"/>
        </w:rPr>
        <w:t xml:space="preserve">1. Varma et al. (2016), Solution Combustion Synthesis of Nanoscale Materials. </w:t>
      </w:r>
      <w:r>
        <w:rPr>
          <w:rFonts w:ascii="Aptos" w:hAnsi="Aptos"/>
          <w:color w:val="183642"/>
          <w:sz w:val="18"/>
        </w:rPr>
        <w:t xml:space="preserve">Foundational review: fuel/oxidizer chemistry, gas evolution and phase formation in SCS. </w:t>
      </w:r>
      <w:hyperlink r:id="rId11">
        <w:r>
          <w:rPr>
            <w:color w:val="0563C1"/>
            <w:u w:val="single"/>
          </w:rPr>
          <w:t>Link</w:t>
        </w:r>
      </w:hyperlink>
    </w:p>
    <w:p>
      <w:pPr>
        <w:spacing w:after="100"/>
        <w:ind w:left="259" w:hanging="259"/>
      </w:pPr>
      <w:r>
        <w:rPr>
          <w:rFonts w:ascii="Aptos" w:hAnsi="Aptos"/>
          <w:b/>
          <w:color w:val="183642"/>
          <w:sz w:val="18"/>
        </w:rPr>
        <w:t xml:space="preserve">2. Deganello &amp; Tyagi (2020), SCS toward sustainable chemistry. </w:t>
      </w:r>
      <w:r>
        <w:rPr>
          <w:rFonts w:ascii="Aptos" w:hAnsi="Aptos"/>
          <w:color w:val="183642"/>
          <w:sz w:val="18"/>
        </w:rPr>
        <w:t xml:space="preserve">Reviews SCS advantages and limits, including compositional and energy considerations. </w:t>
      </w:r>
      <w:hyperlink r:id="rId12">
        <w:r>
          <w:rPr>
            <w:color w:val="0563C1"/>
            <w:u w:val="single"/>
          </w:rPr>
          <w:t>Link</w:t>
        </w:r>
      </w:hyperlink>
    </w:p>
    <w:p>
      <w:pPr>
        <w:spacing w:after="100"/>
        <w:ind w:left="259" w:hanging="259"/>
      </w:pPr>
      <w:r>
        <w:rPr>
          <w:rFonts w:ascii="Aptos" w:hAnsi="Aptos"/>
          <w:b/>
          <w:color w:val="183642"/>
          <w:sz w:val="18"/>
        </w:rPr>
        <w:t xml:space="preserve">3. Solution Combustion Synthesis: relevant metrics (2022). </w:t>
      </w:r>
      <w:r>
        <w:rPr>
          <w:rFonts w:ascii="Aptos" w:hAnsi="Aptos"/>
          <w:color w:val="183642"/>
          <w:sz w:val="18"/>
        </w:rPr>
        <w:t xml:space="preserve">Argues that equivalence ratio, temperature and process metrics must be reported consistently. </w:t>
      </w:r>
      <w:hyperlink r:id="rId13">
        <w:r>
          <w:rPr>
            <w:color w:val="0563C1"/>
            <w:u w:val="single"/>
          </w:rPr>
          <w:t>Link</w:t>
        </w:r>
      </w:hyperlink>
    </w:p>
    <w:p>
      <w:pPr>
        <w:spacing w:after="100"/>
        <w:ind w:left="259" w:hanging="259"/>
      </w:pPr>
      <w:r>
        <w:rPr>
          <w:rFonts w:ascii="Aptos" w:hAnsi="Aptos"/>
          <w:b/>
          <w:color w:val="183642"/>
          <w:sz w:val="18"/>
        </w:rPr>
        <w:t xml:space="preserve">4. Solution Combustion Synthesis for Various Applications (2025). </w:t>
      </w:r>
      <w:r>
        <w:rPr>
          <w:rFonts w:ascii="Aptos" w:hAnsi="Aptos"/>
          <w:color w:val="183642"/>
          <w:sz w:val="18"/>
        </w:rPr>
        <w:t xml:space="preserve">Recent review of fuels, mixed-fuel effects and application-dependent process choices. </w:t>
      </w:r>
      <w:hyperlink r:id="rId14">
        <w:r>
          <w:rPr>
            <w:color w:val="0563C1"/>
            <w:u w:val="single"/>
          </w:rPr>
          <w:t>Link</w:t>
        </w:r>
      </w:hyperlink>
    </w:p>
    <w:p>
      <w:pPr>
        <w:spacing w:after="100"/>
        <w:ind w:left="259" w:hanging="259"/>
      </w:pPr>
      <w:r>
        <w:rPr>
          <w:rFonts w:ascii="Aptos" w:hAnsi="Aptos"/>
          <w:b/>
          <w:color w:val="183642"/>
          <w:sz w:val="18"/>
        </w:rPr>
        <w:t xml:space="preserve">5. Islam et al. (2019), sucrose-mediated ZnO. </w:t>
      </w:r>
      <w:r>
        <w:rPr>
          <w:rFonts w:ascii="Aptos" w:hAnsi="Aptos"/>
          <w:color w:val="183642"/>
          <w:sz w:val="18"/>
        </w:rPr>
        <w:t xml:space="preserve">Demonstrates rapid ZnO formation from zinc nitrate and sucrose; supports sucrose feasibility, not transfer of exact conditions. </w:t>
      </w:r>
      <w:hyperlink r:id="rId15">
        <w:r>
          <w:rPr>
            <w:color w:val="0563C1"/>
            <w:u w:val="single"/>
          </w:rPr>
          <w:t>Link</w:t>
        </w:r>
      </w:hyperlink>
    </w:p>
    <w:p>
      <w:pPr>
        <w:spacing w:after="100"/>
        <w:ind w:left="259" w:hanging="259"/>
      </w:pPr>
      <w:r>
        <w:rPr>
          <w:rFonts w:ascii="Aptos" w:hAnsi="Aptos"/>
          <w:b/>
          <w:color w:val="183642"/>
          <w:sz w:val="18"/>
        </w:rPr>
        <w:t xml:space="preserve">6. Mohanta et al. (2020), sucrose-triggered NiO. </w:t>
      </w:r>
      <w:r>
        <w:rPr>
          <w:rFonts w:ascii="Aptos" w:hAnsi="Aptos"/>
          <w:color w:val="183642"/>
          <w:sz w:val="18"/>
        </w:rPr>
        <w:t xml:space="preserve">Shows self-propagating sucrose/nitrate combustion and scale sensitivity in a model oxide system. </w:t>
      </w:r>
      <w:hyperlink r:id="rId16">
        <w:r>
          <w:rPr>
            <w:color w:val="0563C1"/>
            <w:u w:val="single"/>
          </w:rPr>
          <w:t>Link</w:t>
        </w:r>
      </w:hyperlink>
    </w:p>
    <w:p>
      <w:pPr>
        <w:spacing w:after="100"/>
        <w:ind w:left="259" w:hanging="259"/>
      </w:pPr>
      <w:r>
        <w:rPr>
          <w:rFonts w:ascii="Aptos" w:hAnsi="Aptos"/>
          <w:b/>
          <w:color w:val="183642"/>
          <w:sz w:val="18"/>
        </w:rPr>
        <w:t xml:space="preserve">7. Kumar et al. (2022), combustion-derived CuO. </w:t>
      </w:r>
      <w:r>
        <w:rPr>
          <w:rFonts w:ascii="Aptos" w:hAnsi="Aptos"/>
          <w:color w:val="183642"/>
          <w:sz w:val="18"/>
        </w:rPr>
        <w:t xml:space="preserve">Reports CuO nanoparticles synthesized by sucrose-assisted solution combustion. </w:t>
      </w:r>
      <w:hyperlink r:id="rId17">
        <w:r>
          <w:rPr>
            <w:color w:val="0563C1"/>
            <w:u w:val="single"/>
          </w:rPr>
          <w:t>Link</w:t>
        </w:r>
      </w:hyperlink>
    </w:p>
    <w:p>
      <w:pPr>
        <w:spacing w:after="100"/>
        <w:ind w:left="259" w:hanging="259"/>
      </w:pPr>
      <w:r>
        <w:rPr>
          <w:rFonts w:ascii="Aptos" w:hAnsi="Aptos"/>
          <w:b/>
          <w:color w:val="183642"/>
          <w:sz w:val="18"/>
        </w:rPr>
        <w:t xml:space="preserve">8. Potti &amp; Srivastava (2012), fuels in ZnO SCS. </w:t>
      </w:r>
      <w:r>
        <w:rPr>
          <w:rFonts w:ascii="Aptos" w:hAnsi="Aptos"/>
          <w:color w:val="183642"/>
          <w:sz w:val="18"/>
        </w:rPr>
        <w:t xml:space="preserve">Shows that fuel selection changes structural, optical and textural properties. </w:t>
      </w:r>
      <w:hyperlink r:id="rId18">
        <w:r>
          <w:rPr>
            <w:color w:val="0563C1"/>
            <w:u w:val="single"/>
          </w:rPr>
          <w:t>Link</w:t>
        </w:r>
      </w:hyperlink>
    </w:p>
    <w:p>
      <w:pPr>
        <w:spacing w:after="100"/>
        <w:ind w:left="259" w:hanging="259"/>
      </w:pPr>
      <w:r>
        <w:rPr>
          <w:rFonts w:ascii="Aptos" w:hAnsi="Aptos"/>
          <w:b/>
          <w:color w:val="183642"/>
          <w:sz w:val="18"/>
        </w:rPr>
        <w:t xml:space="preserve">9. Karakoç et al. (2025), temperature-dependent Mn oxide SCS. </w:t>
      </w:r>
      <w:r>
        <w:rPr>
          <w:rFonts w:ascii="Aptos" w:hAnsi="Aptos"/>
          <w:color w:val="183642"/>
          <w:sz w:val="18"/>
        </w:rPr>
        <w:t xml:space="preserve">Illustrates thermal-history sensitivity and phase evolution in Mn oxides. </w:t>
      </w:r>
      <w:hyperlink r:id="rId19">
        <w:r>
          <w:rPr>
            <w:color w:val="0563C1"/>
            <w:u w:val="single"/>
          </w:rPr>
          <w:t>Link</w:t>
        </w:r>
      </w:hyperlink>
    </w:p>
    <w:p>
      <w:pPr>
        <w:spacing w:after="100"/>
        <w:ind w:left="259" w:hanging="259"/>
      </w:pPr>
      <w:r>
        <w:rPr>
          <w:rFonts w:ascii="Aptos" w:hAnsi="Aptos"/>
          <w:b/>
          <w:color w:val="183642"/>
          <w:sz w:val="18"/>
        </w:rPr>
        <w:t xml:space="preserve">10. Combustion synthesis of magnetic nanomaterials review. </w:t>
      </w:r>
      <w:r>
        <w:rPr>
          <w:rFonts w:ascii="Aptos" w:hAnsi="Aptos"/>
          <w:color w:val="183642"/>
          <w:sz w:val="18"/>
        </w:rPr>
        <w:t xml:space="preserve">Summarizes ferrite and magnetic-oxide formation relevant to Fe-containing multication systems. </w:t>
      </w:r>
      <w:hyperlink r:id="rId20">
        <w:r>
          <w:rPr>
            <w:color w:val="0563C1"/>
            <w:u w:val="single"/>
          </w:rPr>
          <w:t>Link</w:t>
        </w:r>
      </w:hyperlink>
    </w:p>
    <w:p>
      <w:pPr>
        <w:spacing w:after="100"/>
        <w:ind w:left="259" w:hanging="259"/>
      </w:pPr>
      <w:r>
        <w:rPr>
          <w:rFonts w:ascii="Aptos" w:hAnsi="Aptos"/>
          <w:b/>
          <w:color w:val="183642"/>
          <w:sz w:val="18"/>
        </w:rPr>
        <w:t xml:space="preserve">11. Sobhani et al. (2023), Cu–Mn oxide composites. </w:t>
      </w:r>
      <w:r>
        <w:rPr>
          <w:rFonts w:ascii="Aptos" w:hAnsi="Aptos"/>
          <w:color w:val="183642"/>
          <w:sz w:val="18"/>
        </w:rPr>
        <w:t xml:space="preserve">Shows sucrose-containing processing can generate coupled Cu–Mn oxide phases rather than isolated oxides. </w:t>
      </w:r>
      <w:hyperlink r:id="rId21">
        <w:r>
          <w:rPr>
            <w:color w:val="0563C1"/>
            <w:u w:val="single"/>
          </w:rPr>
          <w:t>Link</w:t>
        </w:r>
      </w:hyperlink>
    </w:p>
    <w:p>
      <w:pPr>
        <w:spacing w:after="100"/>
        <w:ind w:left="259" w:hanging="259"/>
      </w:pPr>
      <w:r>
        <w:rPr>
          <w:rFonts w:ascii="Aptos" w:hAnsi="Aptos"/>
          <w:b/>
          <w:color w:val="183642"/>
          <w:sz w:val="18"/>
        </w:rPr>
        <w:t xml:space="preserve">12. Amarilla et al. (2011), atmosphere and fuel amount. </w:t>
      </w:r>
      <w:r>
        <w:rPr>
          <w:rFonts w:ascii="Aptos" w:hAnsi="Aptos"/>
          <w:color w:val="183642"/>
          <w:sz w:val="18"/>
        </w:rPr>
        <w:t xml:space="preserve">Demonstrates that fuel amount and atmosphere materially alter phase and morphology. </w:t>
      </w:r>
      <w:hyperlink r:id="rId22">
        <w:r>
          <w:rPr>
            <w:color w:val="0563C1"/>
            <w:u w:val="single"/>
          </w:rPr>
          <w:t>Link</w:t>
        </w:r>
      </w:hyperlink>
    </w:p>
    <w:p>
      <w:pPr>
        <w:spacing w:after="100"/>
        <w:ind w:left="259" w:hanging="259"/>
      </w:pPr>
      <w:r>
        <w:rPr>
          <w:rFonts w:ascii="Aptos" w:hAnsi="Aptos"/>
          <w:b/>
          <w:color w:val="183642"/>
          <w:sz w:val="18"/>
        </w:rPr>
        <w:t xml:space="preserve">13. Colloidal SCS toward mass production (2016). </w:t>
      </w:r>
      <w:r>
        <w:rPr>
          <w:rFonts w:ascii="Aptos" w:hAnsi="Aptos"/>
          <w:color w:val="183642"/>
          <w:sz w:val="18"/>
        </w:rPr>
        <w:t xml:space="preserve">Explores routes intended to improve scalability and particle control. </w:t>
      </w:r>
      <w:hyperlink r:id="rId23">
        <w:r>
          <w:rPr>
            <w:color w:val="0563C1"/>
            <w:u w:val="single"/>
          </w:rPr>
          <w:t>Link</w:t>
        </w:r>
      </w:hyperlink>
    </w:p>
    <w:p>
      <w:pPr>
        <w:spacing w:after="100"/>
        <w:ind w:left="259" w:hanging="259"/>
      </w:pPr>
      <w:r>
        <w:rPr>
          <w:rFonts w:ascii="Aptos" w:hAnsi="Aptos"/>
          <w:b/>
          <w:color w:val="183642"/>
          <w:sz w:val="18"/>
        </w:rPr>
        <w:t xml:space="preserve">14. SCS process-safety study using adiabatic calorimetry. </w:t>
      </w:r>
      <w:r>
        <w:rPr>
          <w:rFonts w:ascii="Aptos" w:hAnsi="Aptos"/>
          <w:color w:val="183642"/>
          <w:sz w:val="18"/>
        </w:rPr>
        <w:t xml:space="preserve">Shows why reaction calorimetry is needed before scale-up of nitrate/fuel systems. </w:t>
      </w:r>
      <w:hyperlink r:id="rId24">
        <w:r>
          <w:rPr>
            <w:color w:val="0563C1"/>
            <w:u w:val="single"/>
          </w:rPr>
          <w:t>Link</w:t>
        </w:r>
      </w:hyperlink>
    </w:p>
    <w:p>
      <w:pPr>
        <w:spacing w:after="100"/>
        <w:ind w:left="259" w:hanging="259"/>
      </w:pPr>
      <w:r>
        <w:rPr>
          <w:rFonts w:ascii="Aptos" w:hAnsi="Aptos"/>
          <w:b/>
          <w:color w:val="183642"/>
          <w:sz w:val="18"/>
        </w:rPr>
        <w:t xml:space="preserve">15. Nanofertilizers in modern agriculture review. </w:t>
      </w:r>
      <w:r>
        <w:rPr>
          <w:rFonts w:ascii="Aptos" w:hAnsi="Aptos"/>
          <w:color w:val="183642"/>
          <w:sz w:val="18"/>
        </w:rPr>
        <w:t xml:space="preserve">Summarizes nutrient-delivery mechanisms, benefits, limitations and research needs. </w:t>
      </w:r>
      <w:hyperlink r:id="rId25">
        <w:r>
          <w:rPr>
            <w:color w:val="0563C1"/>
            <w:u w:val="single"/>
          </w:rPr>
          <w:t>Link</w:t>
        </w:r>
      </w:hyperlink>
    </w:p>
    <w:p>
      <w:pPr>
        <w:spacing w:after="100"/>
        <w:ind w:left="259" w:hanging="259"/>
      </w:pPr>
      <w:r>
        <w:rPr>
          <w:rFonts w:ascii="Aptos" w:hAnsi="Aptos"/>
          <w:b/>
          <w:color w:val="183642"/>
          <w:sz w:val="18"/>
        </w:rPr>
        <w:t xml:space="preserve">16. Comprehensive nanofertilizer review (2025). </w:t>
      </w:r>
      <w:r>
        <w:rPr>
          <w:rFonts w:ascii="Aptos" w:hAnsi="Aptos"/>
          <w:color w:val="183642"/>
          <w:sz w:val="18"/>
        </w:rPr>
        <w:t xml:space="preserve">Reviews classes, delivery, plant responses, toxicity and environmental questions. </w:t>
      </w:r>
      <w:hyperlink r:id="rId26">
        <w:r>
          <w:rPr>
            <w:color w:val="0563C1"/>
            <w:u w:val="single"/>
          </w:rPr>
          <w:t>Link</w:t>
        </w:r>
      </w:hyperlink>
    </w:p>
    <w:p>
      <w:pPr>
        <w:spacing w:after="100"/>
        <w:ind w:left="259" w:hanging="259"/>
      </w:pPr>
      <w:r>
        <w:rPr>
          <w:rFonts w:ascii="Aptos" w:hAnsi="Aptos"/>
          <w:b/>
          <w:color w:val="183642"/>
          <w:sz w:val="18"/>
        </w:rPr>
        <w:t xml:space="preserve">17. Smart and sustainable nanofertilizers. </w:t>
      </w:r>
      <w:r>
        <w:rPr>
          <w:rFonts w:ascii="Aptos" w:hAnsi="Aptos"/>
          <w:color w:val="183642"/>
          <w:sz w:val="18"/>
        </w:rPr>
        <w:t xml:space="preserve">Discusses controlled delivery, nutrient-use efficiency and biosafety requirements. </w:t>
      </w:r>
      <w:hyperlink r:id="rId27">
        <w:r>
          <w:rPr>
            <w:color w:val="0563C1"/>
            <w:u w:val="single"/>
          </w:rPr>
          <w:t>Link</w:t>
        </w:r>
      </w:hyperlink>
    </w:p>
    <w:p>
      <w:pPr>
        <w:spacing w:after="100"/>
        <w:ind w:left="259" w:hanging="259"/>
      </w:pPr>
      <w:r>
        <w:rPr>
          <w:rFonts w:ascii="Aptos" w:hAnsi="Aptos"/>
          <w:b/>
          <w:color w:val="183642"/>
          <w:sz w:val="18"/>
        </w:rPr>
        <w:t xml:space="preserve">18. Controlled-release nanofertilizers review. </w:t>
      </w:r>
      <w:r>
        <w:rPr>
          <w:rFonts w:ascii="Aptos" w:hAnsi="Aptos"/>
          <w:color w:val="183642"/>
          <w:sz w:val="18"/>
        </w:rPr>
        <w:t xml:space="preserve">Evaluates mechanisms and challenges of controlled nutrient release. </w:t>
      </w:r>
      <w:hyperlink r:id="rId28">
        <w:r>
          <w:rPr>
            <w:color w:val="0563C1"/>
            <w:u w:val="single"/>
          </w:rPr>
          <w:t>Link</w:t>
        </w:r>
      </w:hyperlink>
    </w:p>
    <w:p>
      <w:pPr>
        <w:spacing w:after="100"/>
        <w:ind w:left="259" w:hanging="259"/>
      </w:pPr>
      <w:r>
        <w:rPr>
          <w:rFonts w:ascii="Aptos" w:hAnsi="Aptos"/>
          <w:b/>
          <w:color w:val="183642"/>
          <w:sz w:val="18"/>
        </w:rPr>
        <w:t xml:space="preserve">19. Metal-oxide nanoparticle response in plants. </w:t>
      </w:r>
      <w:r>
        <w:rPr>
          <w:rFonts w:ascii="Aptos" w:hAnsi="Aptos"/>
          <w:color w:val="183642"/>
          <w:sz w:val="18"/>
        </w:rPr>
        <w:t xml:space="preserve">Shows plant responses depend strongly on composition, dose, plant species and exposure route. </w:t>
      </w:r>
      <w:hyperlink r:id="rId29">
        <w:r>
          <w:rPr>
            <w:color w:val="0563C1"/>
            <w:u w:val="single"/>
          </w:rPr>
          <w:t>Link</w:t>
        </w:r>
      </w:hyperlink>
    </w:p>
    <w:p>
      <w:pPr>
        <w:spacing w:after="100"/>
        <w:ind w:left="259" w:hanging="259"/>
      </w:pPr>
      <w:r>
        <w:rPr>
          <w:rFonts w:ascii="Aptos" w:hAnsi="Aptos"/>
          <w:b/>
          <w:color w:val="183642"/>
          <w:sz w:val="18"/>
        </w:rPr>
        <w:t xml:space="preserve">20. Impact of metal-oxide nanoparticles on plants. </w:t>
      </w:r>
      <w:r>
        <w:rPr>
          <w:rFonts w:ascii="Aptos" w:hAnsi="Aptos"/>
          <w:color w:val="183642"/>
          <w:sz w:val="18"/>
        </w:rPr>
        <w:t xml:space="preserve">Reviews uptake, translocation, oxidative stress and beneficial responses. </w:t>
      </w:r>
      <w:hyperlink r:id="rId30">
        <w:r>
          <w:rPr>
            <w:color w:val="0563C1"/>
            <w:u w:val="single"/>
          </w:rPr>
          <w:t>Link</w:t>
        </w:r>
      </w:hyperlink>
    </w:p>
    <w:p>
      <w:pPr>
        <w:spacing w:after="100"/>
        <w:ind w:left="259" w:hanging="259"/>
      </w:pPr>
      <w:r>
        <w:rPr>
          <w:rFonts w:ascii="Aptos" w:hAnsi="Aptos"/>
          <w:b/>
          <w:color w:val="183642"/>
          <w:sz w:val="18"/>
        </w:rPr>
        <w:t xml:space="preserve">21. Biosynthesized metal oxides for sustainable agriculture. </w:t>
      </w:r>
      <w:r>
        <w:rPr>
          <w:rFonts w:ascii="Aptos" w:hAnsi="Aptos"/>
          <w:color w:val="183642"/>
          <w:sz w:val="18"/>
        </w:rPr>
        <w:t xml:space="preserve">Reviews nutrient and crop-protection potential with emphasis on safe-by-design use. </w:t>
      </w:r>
      <w:hyperlink r:id="rId31">
        <w:r>
          <w:rPr>
            <w:color w:val="0563C1"/>
            <w:u w:val="single"/>
          </w:rPr>
          <w:t>Link</w:t>
        </w:r>
      </w:hyperlink>
    </w:p>
    <w:p>
      <w:pPr>
        <w:spacing w:after="100"/>
        <w:ind w:left="259" w:hanging="259"/>
      </w:pPr>
      <w:r>
        <w:rPr>
          <w:rFonts w:ascii="Aptos" w:hAnsi="Aptos"/>
          <w:b/>
          <w:color w:val="183642"/>
          <w:sz w:val="18"/>
        </w:rPr>
        <w:t xml:space="preserve">22. ZnO nanofertilizer in wheat. </w:t>
      </w:r>
      <w:r>
        <w:rPr>
          <w:rFonts w:ascii="Aptos" w:hAnsi="Aptos"/>
          <w:color w:val="183642"/>
          <w:sz w:val="18"/>
        </w:rPr>
        <w:t xml:space="preserve">Reports dose-dependent effects of ZnO nanoparticles on wheat growth and nutrition. </w:t>
      </w:r>
      <w:hyperlink r:id="rId32">
        <w:r>
          <w:rPr>
            <w:color w:val="0563C1"/>
            <w:u w:val="single"/>
          </w:rPr>
          <w:t>Link</w:t>
        </w:r>
      </w:hyperlink>
    </w:p>
    <w:p>
      <w:pPr>
        <w:spacing w:after="100"/>
        <w:ind w:left="259" w:hanging="259"/>
      </w:pPr>
      <w:r>
        <w:rPr>
          <w:rFonts w:ascii="Aptos" w:hAnsi="Aptos"/>
          <w:b/>
          <w:color w:val="183642"/>
          <w:sz w:val="18"/>
        </w:rPr>
        <w:t xml:space="preserve">23. ZnO nanoparticle synthesis and agriculture review. </w:t>
      </w:r>
      <w:r>
        <w:rPr>
          <w:rFonts w:ascii="Aptos" w:hAnsi="Aptos"/>
          <w:color w:val="183642"/>
          <w:sz w:val="18"/>
        </w:rPr>
        <w:t xml:space="preserve">Connects ZnO synthesis characteristics with agricultural applications and toxicity. </w:t>
      </w:r>
      <w:hyperlink r:id="rId33">
        <w:r>
          <w:rPr>
            <w:color w:val="0563C1"/>
            <w:u w:val="single"/>
          </w:rPr>
          <w:t>Link</w:t>
        </w:r>
      </w:hyperlink>
    </w:p>
    <w:p>
      <w:pPr>
        <w:spacing w:after="100"/>
        <w:ind w:left="259" w:hanging="259"/>
      </w:pPr>
      <w:r>
        <w:rPr>
          <w:rFonts w:ascii="Aptos" w:hAnsi="Aptos"/>
          <w:b/>
          <w:color w:val="183642"/>
          <w:sz w:val="18"/>
        </w:rPr>
        <w:t xml:space="preserve">24. MnO2 foliar application in mung bean. </w:t>
      </w:r>
      <w:r>
        <w:rPr>
          <w:rFonts w:ascii="Aptos" w:hAnsi="Aptos"/>
          <w:color w:val="183642"/>
          <w:sz w:val="18"/>
        </w:rPr>
        <w:t xml:space="preserve">Reports plant physiological responses to foliar MnO2 nanoparticle treatment. </w:t>
      </w:r>
      <w:hyperlink r:id="rId34">
        <w:r>
          <w:rPr>
            <w:color w:val="0563C1"/>
            <w:u w:val="single"/>
          </w:rPr>
          <w:t>Link</w:t>
        </w:r>
      </w:hyperlink>
    </w:p>
    <w:p>
      <w:pPr>
        <w:spacing w:after="100"/>
        <w:ind w:left="259" w:hanging="259"/>
      </w:pPr>
      <w:r>
        <w:rPr>
          <w:rFonts w:ascii="Aptos" w:hAnsi="Aptos"/>
          <w:b/>
          <w:color w:val="183642"/>
          <w:sz w:val="18"/>
        </w:rPr>
        <w:t xml:space="preserve">25. Manganese-oxide nanoparticle seed priming. </w:t>
      </w:r>
      <w:r>
        <w:rPr>
          <w:rFonts w:ascii="Aptos" w:hAnsi="Aptos"/>
          <w:color w:val="183642"/>
          <w:sz w:val="18"/>
        </w:rPr>
        <w:t xml:space="preserve">Shows seed-priming responses and the importance of dose optimization. </w:t>
      </w:r>
      <w:hyperlink r:id="rId35">
        <w:r>
          <w:rPr>
            <w:color w:val="0563C1"/>
            <w:u w:val="single"/>
          </w:rPr>
          <w:t>Link</w:t>
        </w:r>
      </w:hyperlink>
    </w:p>
    <w:p>
      <w:pPr>
        <w:spacing w:after="100"/>
        <w:ind w:left="259" w:hanging="259"/>
      </w:pPr>
      <w:r>
        <w:rPr>
          <w:rFonts w:ascii="Aptos" w:hAnsi="Aptos"/>
          <w:b/>
          <w:color w:val="183642"/>
          <w:sz w:val="18"/>
        </w:rPr>
        <w:t xml:space="preserve">26. Comparison of Mn fertilizer forms. </w:t>
      </w:r>
      <w:r>
        <w:rPr>
          <w:rFonts w:ascii="Aptos" w:hAnsi="Aptos"/>
          <w:color w:val="183642"/>
          <w:sz w:val="18"/>
        </w:rPr>
        <w:t xml:space="preserve">Finds that manganese form influences plant uptake and physiological response. </w:t>
      </w:r>
      <w:hyperlink r:id="rId36">
        <w:r>
          <w:rPr>
            <w:color w:val="0563C1"/>
            <w:u w:val="single"/>
          </w:rPr>
          <w:t>Link</w:t>
        </w:r>
      </w:hyperlink>
    </w:p>
    <w:p>
      <w:pPr>
        <w:spacing w:after="100"/>
        <w:ind w:left="259" w:hanging="259"/>
      </w:pPr>
      <w:r>
        <w:rPr>
          <w:rFonts w:ascii="Aptos" w:hAnsi="Aptos"/>
          <w:b/>
          <w:color w:val="183642"/>
          <w:sz w:val="18"/>
        </w:rPr>
        <w:t xml:space="preserve">27. MgO nanoparticles under crop stress. </w:t>
      </w:r>
      <w:r>
        <w:rPr>
          <w:rFonts w:ascii="Aptos" w:hAnsi="Aptos"/>
          <w:color w:val="183642"/>
          <w:sz w:val="18"/>
        </w:rPr>
        <w:t xml:space="preserve">Reports potential growth/stress benefits while reinforcing dose dependence. </w:t>
      </w:r>
      <w:hyperlink r:id="rId37">
        <w:r>
          <w:rPr>
            <w:color w:val="0563C1"/>
            <w:u w:val="single"/>
          </w:rPr>
          <w:t>Link</w:t>
        </w:r>
      </w:hyperlink>
    </w:p>
    <w:p>
      <w:pPr>
        <w:spacing w:after="100"/>
        <w:ind w:left="259" w:hanging="259"/>
      </w:pPr>
      <w:r>
        <w:rPr>
          <w:rFonts w:ascii="Aptos" w:hAnsi="Aptos"/>
          <w:b/>
          <w:color w:val="183642"/>
          <w:sz w:val="18"/>
        </w:rPr>
        <w:t xml:space="preserve">28. Green-synthesized ZnO and MgO nanoparticles. </w:t>
      </w:r>
      <w:r>
        <w:rPr>
          <w:rFonts w:ascii="Aptos" w:hAnsi="Aptos"/>
          <w:color w:val="183642"/>
          <w:sz w:val="18"/>
        </w:rPr>
        <w:t xml:space="preserve">Compares crop responses to ZnO and MgO nanomaterials. </w:t>
      </w:r>
      <w:hyperlink r:id="rId38">
        <w:r>
          <w:rPr>
            <w:color w:val="0563C1"/>
            <w:u w:val="single"/>
          </w:rPr>
          <w:t>Link</w:t>
        </w:r>
      </w:hyperlink>
    </w:p>
    <w:p>
      <w:pPr>
        <w:spacing w:after="100"/>
        <w:ind w:left="259" w:hanging="259"/>
      </w:pPr>
      <w:r>
        <w:rPr>
          <w:rFonts w:ascii="Aptos" w:hAnsi="Aptos"/>
          <w:b/>
          <w:color w:val="183642"/>
          <w:sz w:val="18"/>
        </w:rPr>
        <w:t xml:space="preserve">29. ZnO, MgO and MnO2 treatments in rice. </w:t>
      </w:r>
      <w:r>
        <w:rPr>
          <w:rFonts w:ascii="Aptos" w:hAnsi="Aptos"/>
          <w:color w:val="183642"/>
          <w:sz w:val="18"/>
        </w:rPr>
        <w:t xml:space="preserve">Examines separate metal-oxide nanoparticle treatments and rhizosphere/plant responses. </w:t>
      </w:r>
      <w:hyperlink r:id="rId39">
        <w:r>
          <w:rPr>
            <w:color w:val="0563C1"/>
            <w:u w:val="single"/>
          </w:rPr>
          <w:t>Link</w:t>
        </w:r>
      </w:hyperlink>
    </w:p>
    <w:p>
      <w:pPr>
        <w:spacing w:after="100"/>
        <w:ind w:left="259" w:hanging="259"/>
      </w:pPr>
      <w:r>
        <w:rPr>
          <w:rFonts w:ascii="Aptos" w:hAnsi="Aptos"/>
          <w:b/>
          <w:color w:val="183642"/>
          <w:sz w:val="18"/>
        </w:rPr>
        <w:t xml:space="preserve">30. Macronutrient nanoparticle fertilizer review. </w:t>
      </w:r>
      <w:r>
        <w:rPr>
          <w:rFonts w:ascii="Aptos" w:hAnsi="Aptos"/>
          <w:color w:val="183642"/>
          <w:sz w:val="18"/>
        </w:rPr>
        <w:t xml:space="preserve">Reviews Ca-, Mg- and other macronutrient nanomaterials and agronomic evidence. </w:t>
      </w:r>
      <w:hyperlink r:id="rId40">
        <w:r>
          <w:rPr>
            <w:color w:val="0563C1"/>
            <w:u w:val="single"/>
          </w:rPr>
          <w:t>Link</w:t>
        </w:r>
      </w:hyperlink>
    </w:p>
    <w:p>
      <w:pPr>
        <w:spacing w:after="100"/>
        <w:ind w:left="259" w:hanging="259"/>
      </w:pPr>
      <w:r>
        <w:rPr>
          <w:rFonts w:ascii="Aptos" w:hAnsi="Aptos"/>
          <w:b/>
          <w:color w:val="183642"/>
          <w:sz w:val="18"/>
        </w:rPr>
        <w:t xml:space="preserve">31. Nanoparticles and plant nutrient uptake review. </w:t>
      </w:r>
      <w:r>
        <w:rPr>
          <w:rFonts w:ascii="Aptos" w:hAnsi="Aptos"/>
          <w:color w:val="183642"/>
          <w:sz w:val="18"/>
        </w:rPr>
        <w:t xml:space="preserve">Synthesizes uptake routes, translocation and dose-dependent effects. </w:t>
      </w:r>
      <w:hyperlink r:id="rId41">
        <w:r>
          <w:rPr>
            <w:color w:val="0563C1"/>
            <w:u w:val="single"/>
          </w:rPr>
          <w:t>Link</w:t>
        </w:r>
      </w:hyperlink>
    </w:p>
    <w:p>
      <w:pPr>
        <w:spacing w:after="100"/>
        <w:ind w:left="259" w:hanging="259"/>
      </w:pPr>
      <w:r>
        <w:rPr>
          <w:rFonts w:ascii="Aptos" w:hAnsi="Aptos"/>
          <w:b/>
          <w:color w:val="183642"/>
          <w:sz w:val="18"/>
        </w:rPr>
        <w:t xml:space="preserve">32. Metal-oxide nanoparticles: phytotoxicity and eustress. </w:t>
      </w:r>
      <w:r>
        <w:rPr>
          <w:rFonts w:ascii="Aptos" w:hAnsi="Aptos"/>
          <w:color w:val="183642"/>
          <w:sz w:val="18"/>
        </w:rPr>
        <w:t xml:space="preserve">Emphasizes hormesis: low-dose stimulation and high-dose toxicity. </w:t>
      </w:r>
      <w:hyperlink r:id="rId42">
        <w:r>
          <w:rPr>
            <w:color w:val="0563C1"/>
            <w:u w:val="single"/>
          </w:rPr>
          <w:t>Link</w:t>
        </w:r>
      </w:hyperlink>
    </w:p>
    <w:p>
      <w:pPr>
        <w:spacing w:after="100"/>
        <w:ind w:left="259" w:hanging="259"/>
      </w:pPr>
      <w:r>
        <w:rPr>
          <w:rFonts w:ascii="Aptos" w:hAnsi="Aptos"/>
          <w:b/>
          <w:color w:val="183642"/>
          <w:sz w:val="18"/>
        </w:rPr>
        <w:t xml:space="preserve">33. Hybrid urea–calcium phosphate fertilizer with Cu/Fe/Zn. </w:t>
      </w:r>
      <w:r>
        <w:rPr>
          <w:rFonts w:ascii="Aptos" w:hAnsi="Aptos"/>
          <w:color w:val="183642"/>
          <w:sz w:val="18"/>
        </w:rPr>
        <w:t xml:space="preserve">Shows that multinutrient nano/hybrid fertilizer concepts are feasible, but matrix chemistry controls release. </w:t>
      </w:r>
      <w:hyperlink r:id="rId43">
        <w:r>
          <w:rPr>
            <w:color w:val="0563C1"/>
            <w:u w:val="single"/>
          </w:rPr>
          <w:t>Link</w:t>
        </w:r>
      </w:hyperlink>
    </w:p>
    <w:p>
      <w:pPr>
        <w:spacing w:after="100"/>
        <w:ind w:left="259" w:hanging="259"/>
      </w:pPr>
      <w:r>
        <w:rPr>
          <w:rFonts w:ascii="Aptos" w:hAnsi="Aptos"/>
          <w:b/>
          <w:color w:val="183642"/>
          <w:sz w:val="18"/>
        </w:rPr>
        <w:t xml:space="preserve">34. Bionanofertilizer review (2024). </w:t>
      </w:r>
      <w:r>
        <w:rPr>
          <w:rFonts w:ascii="Aptos" w:hAnsi="Aptos"/>
          <w:color w:val="183642"/>
          <w:sz w:val="18"/>
        </w:rPr>
        <w:t xml:space="preserve">Covers efficacy, microbial interactions, scaling and risk assessment. </w:t>
      </w:r>
      <w:hyperlink r:id="rId44">
        <w:r>
          <w:rPr>
            <w:color w:val="0563C1"/>
            <w:u w:val="single"/>
          </w:rPr>
          <w:t>Link</w:t>
        </w:r>
      </w:hyperlink>
    </w:p>
    <w:p>
      <w:pPr>
        <w:spacing w:after="100"/>
        <w:ind w:left="259" w:hanging="259"/>
      </w:pPr>
      <w:r>
        <w:rPr>
          <w:rFonts w:ascii="Aptos" w:hAnsi="Aptos"/>
          <w:b/>
          <w:color w:val="183642"/>
          <w:sz w:val="18"/>
        </w:rPr>
        <w:t xml:space="preserve">35. Nanofertilizers: current and future prospects. </w:t>
      </w:r>
      <w:r>
        <w:rPr>
          <w:rFonts w:ascii="Aptos" w:hAnsi="Aptos"/>
          <w:color w:val="183642"/>
          <w:sz w:val="18"/>
        </w:rPr>
        <w:t xml:space="preserve">Reviews agronomic promise and research gaps, including standardization and regulation. </w:t>
      </w:r>
      <w:hyperlink r:id="rId45">
        <w:r>
          <w:rPr>
            <w:color w:val="0563C1"/>
            <w:u w:val="single"/>
          </w:rPr>
          <w:t>Link</w:t>
        </w:r>
      </w:hyperlink>
    </w:p>
    <w:p>
      <w:pPr>
        <w:spacing w:after="100"/>
        <w:ind w:left="259" w:hanging="259"/>
      </w:pPr>
      <w:r>
        <w:rPr>
          <w:rFonts w:ascii="Aptos" w:hAnsi="Aptos"/>
          <w:b/>
          <w:color w:val="183642"/>
          <w:sz w:val="18"/>
        </w:rPr>
        <w:t xml:space="preserve">36. Mixed nanocomposite fertilizers and endophytic bacteria. </w:t>
      </w:r>
      <w:r>
        <w:rPr>
          <w:rFonts w:ascii="Aptos" w:hAnsi="Aptos"/>
          <w:color w:val="183642"/>
          <w:sz w:val="18"/>
        </w:rPr>
        <w:t xml:space="preserve">Illustrates interaction between nanocomposite nutrient treatments and plant-associated microbes. </w:t>
      </w:r>
      <w:hyperlink r:id="rId46">
        <w:r>
          <w:rPr>
            <w:color w:val="0563C1"/>
            <w:u w:val="single"/>
          </w:rPr>
          <w:t>Link</w:t>
        </w:r>
      </w:hyperlink>
    </w:p>
    <w:p>
      <w:pPr>
        <w:spacing w:after="100"/>
        <w:ind w:left="259" w:hanging="259"/>
      </w:pPr>
      <w:r>
        <w:rPr>
          <w:rFonts w:ascii="Aptos" w:hAnsi="Aptos"/>
          <w:b/>
          <w:color w:val="183642"/>
          <w:sz w:val="18"/>
        </w:rPr>
        <w:t xml:space="preserve">37. Facile low-dose ZnO coating of urea. </w:t>
      </w:r>
      <w:r>
        <w:rPr>
          <w:rFonts w:ascii="Aptos" w:hAnsi="Aptos"/>
          <w:color w:val="183642"/>
          <w:sz w:val="18"/>
        </w:rPr>
        <w:t xml:space="preserve">Demonstrates a practical ZnO-coated urea concept and motivates low coating loads. </w:t>
      </w:r>
      <w:hyperlink r:id="rId47">
        <w:r>
          <w:rPr>
            <w:color w:val="0563C1"/>
            <w:u w:val="single"/>
          </w:rPr>
          <w:t>Link</w:t>
        </w:r>
      </w:hyperlink>
    </w:p>
    <w:p>
      <w:pPr>
        <w:spacing w:after="100"/>
        <w:ind w:left="259" w:hanging="259"/>
      </w:pPr>
      <w:r>
        <w:rPr>
          <w:rFonts w:ascii="Aptos" w:hAnsi="Aptos"/>
          <w:b/>
          <w:color w:val="183642"/>
          <w:sz w:val="18"/>
        </w:rPr>
        <w:t xml:space="preserve">38. Role of zinc-coated urea in wheat. </w:t>
      </w:r>
      <w:r>
        <w:rPr>
          <w:rFonts w:ascii="Aptos" w:hAnsi="Aptos"/>
          <w:color w:val="183642"/>
          <w:sz w:val="18"/>
        </w:rPr>
        <w:t xml:space="preserve">Reports improved yield and nutrient uptake for ZnO/gelatin-coated urea relative to controls in the tested system. </w:t>
      </w:r>
      <w:hyperlink r:id="rId48">
        <w:r>
          <w:rPr>
            <w:color w:val="0563C1"/>
            <w:u w:val="single"/>
          </w:rPr>
          <w:t>Link</w:t>
        </w:r>
      </w:hyperlink>
    </w:p>
    <w:p>
      <w:pPr>
        <w:spacing w:after="100"/>
        <w:ind w:left="259" w:hanging="259"/>
      </w:pPr>
      <w:r>
        <w:rPr>
          <w:rFonts w:ascii="Aptos" w:hAnsi="Aptos"/>
          <w:b/>
          <w:color w:val="183642"/>
          <w:sz w:val="18"/>
        </w:rPr>
        <w:t xml:space="preserve">39. Dual-capped Zn urea fertilizer. </w:t>
      </w:r>
      <w:r>
        <w:rPr>
          <w:rFonts w:ascii="Aptos" w:hAnsi="Aptos"/>
          <w:color w:val="183642"/>
          <w:sz w:val="18"/>
        </w:rPr>
        <w:t xml:space="preserve">Shows coating architecture can modify Zn and N delivery. </w:t>
      </w:r>
      <w:hyperlink r:id="rId49">
        <w:r>
          <w:rPr>
            <w:color w:val="0563C1"/>
            <w:u w:val="single"/>
          </w:rPr>
          <w:t>Link</w:t>
        </w:r>
      </w:hyperlink>
    </w:p>
    <w:p>
      <w:pPr>
        <w:spacing w:after="100"/>
        <w:ind w:left="259" w:hanging="259"/>
      </w:pPr>
      <w:r>
        <w:rPr>
          <w:rFonts w:ascii="Aptos" w:hAnsi="Aptos"/>
          <w:b/>
          <w:color w:val="183642"/>
          <w:sz w:val="18"/>
        </w:rPr>
        <w:t xml:space="preserve">40. Slow-release N/Zn coated urea. </w:t>
      </w:r>
      <w:r>
        <w:rPr>
          <w:rFonts w:ascii="Aptos" w:hAnsi="Aptos"/>
          <w:color w:val="183642"/>
          <w:sz w:val="18"/>
        </w:rPr>
        <w:t xml:space="preserve">Evaluates a coated-urea platform for combined N and Zn release. </w:t>
      </w:r>
      <w:hyperlink r:id="rId50">
        <w:r>
          <w:rPr>
            <w:color w:val="0563C1"/>
            <w:u w:val="single"/>
          </w:rPr>
          <w:t>Link</w:t>
        </w:r>
      </w:hyperlink>
    </w:p>
    <w:p>
      <w:pPr>
        <w:spacing w:after="100"/>
        <w:ind w:left="259" w:hanging="259"/>
      </w:pPr>
      <w:r>
        <w:rPr>
          <w:rFonts w:ascii="Aptos" w:hAnsi="Aptos"/>
          <w:b/>
          <w:color w:val="183642"/>
          <w:sz w:val="18"/>
        </w:rPr>
        <w:t xml:space="preserve">41. Controlled-release fertilizer coating review. </w:t>
      </w:r>
      <w:r>
        <w:rPr>
          <w:rFonts w:ascii="Aptos" w:hAnsi="Aptos"/>
          <w:color w:val="183642"/>
          <w:sz w:val="18"/>
        </w:rPr>
        <w:t xml:space="preserve">Summarizes coating materials, release mechanisms, performance tests and environmental issues. </w:t>
      </w:r>
      <w:hyperlink r:id="rId51">
        <w:r>
          <w:rPr>
            <w:color w:val="0563C1"/>
            <w:u w:val="single"/>
          </w:rPr>
          <w:t>Link</w:t>
        </w:r>
      </w:hyperlink>
    </w:p>
    <w:p>
      <w:pPr>
        <w:spacing w:after="100"/>
        <w:ind w:left="259" w:hanging="259"/>
      </w:pPr>
      <w:r>
        <w:rPr>
          <w:rFonts w:ascii="Aptos" w:hAnsi="Aptos"/>
          <w:b/>
          <w:color w:val="183642"/>
          <w:sz w:val="18"/>
        </w:rPr>
        <w:t xml:space="preserve">42. Fe/Zn oxide-coated urea (2025). </w:t>
      </w:r>
      <w:r>
        <w:rPr>
          <w:rFonts w:ascii="Aptos" w:hAnsi="Aptos"/>
          <w:color w:val="183642"/>
          <w:sz w:val="18"/>
        </w:rPr>
        <w:t xml:space="preserve">Recent study of micronutrient oxide coatings and nutrient-release/agronomic performance. </w:t>
      </w:r>
      <w:hyperlink r:id="rId52">
        <w:r>
          <w:rPr>
            <w:color w:val="0563C1"/>
            <w:u w:val="single"/>
          </w:rPr>
          <w:t>Link</w:t>
        </w:r>
      </w:hyperlink>
    </w:p>
    <w:p>
      <w:pPr>
        <w:pStyle w:val="Heading1"/>
      </w:pPr>
      <w:r>
        <w:t>12. Reporting template for each experiment</w:t>
      </w:r>
    </w:p>
    <w:p>
      <w:pPr>
        <w:pStyle w:val="ListBullet"/>
      </w:pPr>
      <w:r>
        <w:t>Material identity: batch ID, precursor lot and hydrate form, metal-mole design, fuel-equivalence convention, atmosphere, approved equipment, and deviations.</w:t>
      </w:r>
    </w:p>
    <w:p>
      <w:pPr>
        <w:pStyle w:val="ListBullet"/>
      </w:pPr>
      <w:r>
        <w:t>Thermal evidence: DSC/TGA sample basis, onset(s), residual mass, and calorimetry reference; record that no confinement was used.</w:t>
      </w:r>
    </w:p>
    <w:p>
      <w:pPr>
        <w:pStyle w:val="ListBullet"/>
      </w:pPr>
      <w:r>
        <w:t>Powder evidence: XRD/Rietveld, TEM particle statistics, SEM agglomerates, BET, ICP mass balance, XPS where needed, residual nitrate and carbon.</w:t>
      </w:r>
    </w:p>
    <w:p>
      <w:pPr>
        <w:pStyle w:val="ListBullet"/>
      </w:pPr>
      <w:r>
        <w:t>Suspension evidence: actual solids, pH, conductivity, viscosity, DLS/laser diffraction, zeta potential, sedimentation, redispersibility, dilution-water compatibility, and storage time.</w:t>
      </w:r>
    </w:p>
    <w:p>
      <w:pPr>
        <w:pStyle w:val="ListBullet"/>
      </w:pPr>
      <w:r>
        <w:t>Plant evidence: crop/cultivar, soil analysis, experimental unit, randomization, replication, complete nutrient doses, application route, timing, endpoints, statistics, tissue/soil/leachate mass balance.</w:t>
      </w:r>
    </w:p>
    <w:p>
      <w:pPr>
        <w:pStyle w:val="Heading1"/>
      </w:pPr>
      <w:r>
        <w:t>13. Final recommendation</w:t>
      </w:r>
    </w:p>
    <w:p>
      <w:r>
        <w:t>The best scientific route is a staged program, not immediate scale-up of the full nitrate–sugar–ammonium-nitrate mixture. Start without added ammonium nitrate, use the provisional cation composition only as a screening center, and allow phase/dissolution evidence to decide whether one-pot SCS is superior to a physical oxide premix. Formulate a characterized powder as a redispersible stock, then use separate storage and fresh co-application with urea for early agronomy. A coated-urea product is justified only after the composite has passed thermal, compositional, release, plant-safety and environmental gates.</w:t>
      </w:r>
    </w:p>
    <w:tbl>
      <w:tblPr>
        <w:tblW w:type="dxa" w:w="9360"/>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EF5F4"/>
          </w:tcPr>
          <w:p>
            <w:r>
              <w:rPr>
                <w:rFonts w:ascii="Aptos" w:hAnsi="Aptos"/>
                <w:b/>
                <w:color w:val="2A7F79"/>
                <w:sz w:val="18"/>
              </w:rPr>
              <w:t xml:space="preserve">INFORMATION STILL REQUIRED FOR A FIELD RECOMMENDATION  </w:t>
            </w:r>
            <w:r>
              <w:rPr>
                <w:rFonts w:ascii="Aptos" w:hAnsi="Aptos"/>
                <w:color w:val="183642"/>
                <w:sz w:val="20"/>
              </w:rPr>
              <w:t>Target crop and cultivar; soil pH and test results; irrigation-water chemistry; application route; desired N rate; local fertilizer/nanomaterial regulations; and measured ICP composition and dissolution of the actual SCS batch.</w:t>
            </w:r>
          </w:p>
        </w:tc>
      </w:tr>
    </w:tbl>
    <w:p>
      <w:pPr>
        <w:spacing w:after="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E6A70"/>
        <w:sz w:val="16"/>
      </w:rPr>
      <w:t>Research-development guide • August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ptos" w:hAnsi="Aptos"/>
        <w:b/>
        <w:color w:val="5E6A70"/>
        <w:sz w:val="17"/>
      </w:rPr>
      <w:t>TECHNICAL REVIEW  |  SCS MULTICOMPONENT NANOFERTILIZER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00" w:lineRule="auto"/>
      <w:jc w:val="both"/>
    </w:pPr>
    <w:rPr>
      <w:rFonts w:ascii="Aptos" w:hAnsi="Aptos"/>
      <w:color w:val="18364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Aptos Display" w:hAnsi="Aptos Display"/>
      <w:b/>
      <w:bCs/>
      <w:color w:val="285A70"/>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Display" w:hAnsi="Aptos Display"/>
      <w:b/>
      <w:bCs/>
      <w:color w:val="285A70"/>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Display" w:hAnsi="Aptos Display"/>
      <w:b/>
      <w:bCs/>
      <w:color w:val="183642"/>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ptos Display" w:hAnsi="Aptos Display"/>
      <w:b w:val="0"/>
      <w:color w:val="183642"/>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Aptos Display" w:hAnsi="Aptos Display"/>
      <w:b w:val="0"/>
      <w:i/>
      <w:iCs/>
      <w:color w:val="2A7F79"/>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ind w:left="540" w:hanging="279"/>
      <w:contextualSpacing/>
    </w:pPr>
    <w:rPr>
      <w:rFonts w:ascii="Aptos" w:hAnsi="Aptos"/>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ind w:left="540" w:hanging="279"/>
      <w:contextualSpacing/>
    </w:pPr>
    <w:rPr>
      <w:rFonts w:ascii="Aptos" w:hAnsi="Aptos"/>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pubs.acs.org/doi/10.1021/acs.chemrev.6b00279" TargetMode="External"/><Relationship Id="rId12" Type="http://schemas.openxmlformats.org/officeDocument/2006/relationships/hyperlink" Target="https://chemistry-europe.onlinelibrary.wiley.com/doi/10.1002/chem.202000678" TargetMode="External"/><Relationship Id="rId13" Type="http://schemas.openxmlformats.org/officeDocument/2006/relationships/hyperlink" Target="https://pubs.rsc.org/en/content/articlelanding/2022/nr/d2nr02714j" TargetMode="External"/><Relationship Id="rId14" Type="http://schemas.openxmlformats.org/officeDocument/2006/relationships/hyperlink" Target="https://www.mdpi.com/2311-5521/10/4/82" TargetMode="External"/><Relationship Id="rId15" Type="http://schemas.openxmlformats.org/officeDocument/2006/relationships/hyperlink" Target="https://pubs.acs.org/doi/10.1021/acsomega.9b00023" TargetMode="External"/><Relationship Id="rId16" Type="http://schemas.openxmlformats.org/officeDocument/2006/relationships/hyperlink" Target="https://pmc.ncbi.nlm.nih.gov/articles/PMC7364633/" TargetMode="External"/><Relationship Id="rId17" Type="http://schemas.openxmlformats.org/officeDocument/2006/relationships/hyperlink" Target="https://www.sciencedirect.com/science/article/abs/pii/S2352507X2200052X" TargetMode="External"/><Relationship Id="rId18" Type="http://schemas.openxmlformats.org/officeDocument/2006/relationships/hyperlink" Target="https://pubs.acs.org/doi/10.1021/ie300478y" TargetMode="External"/><Relationship Id="rId19" Type="http://schemas.openxmlformats.org/officeDocument/2006/relationships/hyperlink" Target="https://www.mdpi.com/2313-0105/11/2/39" TargetMode="External"/><Relationship Id="rId20" Type="http://schemas.openxmlformats.org/officeDocument/2006/relationships/hyperlink" Target="https://pmc.ncbi.nlm.nih.gov/articles/PMC10343784/" TargetMode="External"/><Relationship Id="rId21" Type="http://schemas.openxmlformats.org/officeDocument/2006/relationships/hyperlink" Target="https://arabjchem.org/cumn2o4-mn2o3-micro-composites-sol-gel-synthesis-in-the-presence-of-sucrose-and-investigation-of-their-photocatalytic-properties/" TargetMode="External"/><Relationship Id="rId22" Type="http://schemas.openxmlformats.org/officeDocument/2006/relationships/hyperlink" Target="https://www.sciencedirect.com/science/article/abs/pii/S037877531100512X" TargetMode="External"/><Relationship Id="rId23" Type="http://schemas.openxmlformats.org/officeDocument/2006/relationships/hyperlink" Target="https://pubs.acs.org/doi/10.1021/acs.chemmater.6b00505" TargetMode="External"/><Relationship Id="rId24" Type="http://schemas.openxmlformats.org/officeDocument/2006/relationships/hyperlink" Target="https://elmi.hbku.edu.qa/en/publications/study-of-solution-combustion-synthesis-in-accelerated-rate-adiaba/" TargetMode="External"/><Relationship Id="rId25" Type="http://schemas.openxmlformats.org/officeDocument/2006/relationships/hyperlink" Target="https://pmc.ncbi.nlm.nih.gov/articles/PMC12771263/" TargetMode="External"/><Relationship Id="rId26" Type="http://schemas.openxmlformats.org/officeDocument/2006/relationships/hyperlink" Target="https://pubs.rsc.org/en/content/articlehtml/2025/na/d4na01068j" TargetMode="External"/><Relationship Id="rId27" Type="http://schemas.openxmlformats.org/officeDocument/2006/relationships/hyperlink" Target="https://pmc.ncbi.nlm.nih.gov/articles/PMC9573764/" TargetMode="External"/><Relationship Id="rId28" Type="http://schemas.openxmlformats.org/officeDocument/2006/relationships/hyperlink" Target="https://www.sciencedirect.com/science/article/pii/S2773111124000019" TargetMode="External"/><Relationship Id="rId29" Type="http://schemas.openxmlformats.org/officeDocument/2006/relationships/hyperlink" Target="https://pmc.ncbi.nlm.nih.gov/articles/PMC5293712/" TargetMode="External"/><Relationship Id="rId30" Type="http://schemas.openxmlformats.org/officeDocument/2006/relationships/hyperlink" Target="https://www.frontiersin.org/journals/chemistry/articles/10.3389/fchem.2017.00078/full" TargetMode="External"/><Relationship Id="rId31" Type="http://schemas.openxmlformats.org/officeDocument/2006/relationships/hyperlink" Target="https://pubs.rsc.org/en/content/articlelanding/2022/nr/d2nr03367a" TargetMode="External"/><Relationship Id="rId32" Type="http://schemas.openxmlformats.org/officeDocument/2006/relationships/hyperlink" Target="https://pmc.ncbi.nlm.nih.gov/articles/PMC11161468/" TargetMode="External"/><Relationship Id="rId33" Type="http://schemas.openxmlformats.org/officeDocument/2006/relationships/hyperlink" Target="https://www.mdpi.com/2227-9717/11/4/1193" TargetMode="External"/><Relationship Id="rId34" Type="http://schemas.openxmlformats.org/officeDocument/2006/relationships/hyperlink" Target="https://www.tandfonline.com/doi/full/10.1080/25765299.2022.2032921" TargetMode="External"/><Relationship Id="rId35" Type="http://schemas.openxmlformats.org/officeDocument/2006/relationships/hyperlink" Target="https://pmc.ncbi.nlm.nih.gov/articles/PMC8071577/" TargetMode="External"/><Relationship Id="rId36" Type="http://schemas.openxmlformats.org/officeDocument/2006/relationships/hyperlink" Target="https://www.frontiersin.org/journals/plant-science/articles/10.3389/fpls.2022.1098772/full" TargetMode="External"/><Relationship Id="rId37" Type="http://schemas.openxmlformats.org/officeDocument/2006/relationships/hyperlink" Target="https://pmc.ncbi.nlm.nih.gov/articles/PMC10784442/" TargetMode="External"/><Relationship Id="rId38" Type="http://schemas.openxmlformats.org/officeDocument/2006/relationships/hyperlink" Target="https://connectsci.au/fp/article/52/10/FP25200/233540/Green-synthesized-ZnO-and-MgO-nanoparticles" TargetMode="External"/><Relationship Id="rId39" Type="http://schemas.openxmlformats.org/officeDocument/2006/relationships/hyperlink" Target="https://www.frontiersin.org/journals/microbiology/articles/10.3389/fmicb.2020.588326/full" TargetMode="External"/><Relationship Id="rId40" Type="http://schemas.openxmlformats.org/officeDocument/2006/relationships/hyperlink" Target="https://www.mdpi.com/2073-4395/14/8/1646" TargetMode="External"/><Relationship Id="rId41" Type="http://schemas.openxmlformats.org/officeDocument/2006/relationships/hyperlink" Target="https://pmc.ncbi.nlm.nih.gov/articles/PMC11600800/" TargetMode="External"/><Relationship Id="rId42" Type="http://schemas.openxmlformats.org/officeDocument/2006/relationships/hyperlink" Target="https://www.mdpi.com/2223-7747/15/9/1353" TargetMode="External"/><Relationship Id="rId43" Type="http://schemas.openxmlformats.org/officeDocument/2006/relationships/hyperlink" Target="https://pubs.acs.org/doi/10.1021/acsomega.0c03233" TargetMode="External"/><Relationship Id="rId44" Type="http://schemas.openxmlformats.org/officeDocument/2006/relationships/hyperlink" Target="https://link.springer.com/article/10.1186/s12934-024-02528-5" TargetMode="External"/><Relationship Id="rId45" Type="http://schemas.openxmlformats.org/officeDocument/2006/relationships/hyperlink" Target="https://pmc.ncbi.nlm.nih.gov/articles/PMC8239106/" TargetMode="External"/><Relationship Id="rId46" Type="http://schemas.openxmlformats.org/officeDocument/2006/relationships/hyperlink" Target="https://pubs.acs.org/doi/10.1021/acsomega.1c06395" TargetMode="External"/><Relationship Id="rId47" Type="http://schemas.openxmlformats.org/officeDocument/2006/relationships/hyperlink" Target="https://pmc.ncbi.nlm.nih.gov/articles/PMC7055539/" TargetMode="External"/><Relationship Id="rId48" Type="http://schemas.openxmlformats.org/officeDocument/2006/relationships/hyperlink" Target="https://www.frontiersin.org/journals/environmental-science/articles/10.3389/fenvs.2022.888865/full" TargetMode="External"/><Relationship Id="rId49" Type="http://schemas.openxmlformats.org/officeDocument/2006/relationships/hyperlink" Target="https://pubs.rsc.org/en/content/articlehtml/2022/va/d1va00016k" TargetMode="External"/><Relationship Id="rId50" Type="http://schemas.openxmlformats.org/officeDocument/2006/relationships/hyperlink" Target="https://www.sciencedirect.com/science/article/pii/S2352186421008142" TargetMode="External"/><Relationship Id="rId51" Type="http://schemas.openxmlformats.org/officeDocument/2006/relationships/hyperlink" Target="https://pmc.ncbi.nlm.nih.gov/articles/PMC7912041/" TargetMode="External"/><Relationship Id="rId52" Type="http://schemas.openxmlformats.org/officeDocument/2006/relationships/hyperlink" Target="https://www.mdpi.com/2504-3129/6/4/11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SCS Multicomponent Nanofertilizer Review and Development Guide</dc:title>
  <dc:subject>Safety-gated synthesis, suspension formulation, urea integration, plant testing, and evidence review</dc:subject>
  <dc:creator>OpenAI — prepared for research planning</dc:creator>
  <cp:keywords/>
  <dc:description>generated by python-docx</dc:description>
  <cp:lastModifiedBy/>
  <cp:revision>1</cp:revision>
  <dcterms:created xsi:type="dcterms:W3CDTF">2013-12-23T23:15:00Z</dcterms:created>
  <dcterms:modified xsi:type="dcterms:W3CDTF">2013-12-23T23:15:00Z</dcterms:modified>
  <cp:category/>
</cp:coreProperties>
</file>