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翻车机积煤检测系统</w:t>
      </w:r>
    </w:p>
    <w:p>
      <w:pPr>
        <w:jc w:val="center"/>
      </w:pPr>
      <w:r>
        <w:rPr>
          <w:rFonts w:ascii="微软雅黑" w:hAnsi="微软雅黑" w:eastAsia="微软雅黑"/>
          <w:b/>
          <w:color w:val="2E75B6"/>
          <w:sz w:val="44"/>
        </w:rPr>
        <w:t>30 漏斗规模化扩展方案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—— 分布式边缘计算架构设计方案 ——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文档版本: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V1.0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文档类型: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技术方案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密级: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内部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当前系统版本: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V3.0.11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目标规模: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30 漏斗（6 台翻车机 × 5 漏斗）</w:t>
            </w:r>
          </w:p>
        </w:tc>
      </w:tr>
      <w:tr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666666"/>
                <w:sz w:val="22"/>
              </w:rPr>
              <w:t>编制日期:</w:t>
            </w:r>
          </w:p>
        </w:tc>
        <w:tc>
          <w:tcPr>
            <w:tcW w:type="dxa" w:w="51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22"/>
              </w:rPr>
              <w:t>2026-04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目录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第一章  项目背景与需求</w:t>
      </w:r>
      <w:r>
        <w:rPr>
          <w:rFonts w:ascii="微软雅黑" w:hAnsi="微软雅黑" w:eastAsia="微软雅黑"/>
          <w:color w:val="666666"/>
          <w:sz w:val="22"/>
        </w:rPr>
        <w:tab/>
        <w:t>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1.1  当前系统概况</w:t>
      </w:r>
      <w:r>
        <w:rPr>
          <w:rFonts w:ascii="微软雅黑" w:hAnsi="微软雅黑" w:eastAsia="微软雅黑"/>
          <w:color w:val="666666"/>
          <w:sz w:val="22"/>
        </w:rPr>
        <w:tab/>
        <w:t>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1.2  扩展需求</w:t>
      </w:r>
      <w:r>
        <w:rPr>
          <w:rFonts w:ascii="微软雅黑" w:hAnsi="微软雅黑" w:eastAsia="微软雅黑"/>
          <w:color w:val="666666"/>
          <w:sz w:val="22"/>
        </w:rPr>
        <w:tab/>
        <w:t>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1.3  扩展目标</w:t>
      </w:r>
      <w:r>
        <w:rPr>
          <w:rFonts w:ascii="微软雅黑" w:hAnsi="微软雅黑" w:eastAsia="微软雅黑"/>
          <w:color w:val="666666"/>
          <w:sz w:val="22"/>
        </w:rPr>
        <w:tab/>
        <w:t>4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第二章  单机架构瓶颈分析</w:t>
      </w:r>
      <w:r>
        <w:rPr>
          <w:rFonts w:ascii="微软雅黑" w:hAnsi="微软雅黑" w:eastAsia="微软雅黑"/>
          <w:color w:val="666666"/>
          <w:sz w:val="22"/>
        </w:rPr>
        <w:tab/>
        <w:t>5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2.1  网络带宽瓶颈</w:t>
      </w:r>
      <w:r>
        <w:rPr>
          <w:rFonts w:ascii="微软雅黑" w:hAnsi="微软雅黑" w:eastAsia="微软雅黑"/>
          <w:color w:val="666666"/>
          <w:sz w:val="22"/>
        </w:rPr>
        <w:tab/>
        <w:t>5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2.2  CPU 与内存分析</w:t>
      </w:r>
      <w:r>
        <w:rPr>
          <w:rFonts w:ascii="微软雅黑" w:hAnsi="微软雅黑" w:eastAsia="微软雅黑"/>
          <w:color w:val="666666"/>
          <w:sz w:val="22"/>
        </w:rPr>
        <w:tab/>
        <w:t>6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2.3  线程与连接数评估</w:t>
      </w:r>
      <w:r>
        <w:rPr>
          <w:rFonts w:ascii="微软雅黑" w:hAnsi="微软雅黑" w:eastAsia="微软雅黑"/>
          <w:color w:val="666666"/>
          <w:sz w:val="22"/>
        </w:rPr>
        <w:tab/>
        <w:t>6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2.4  存储与 PLC 负载分析</w:t>
      </w:r>
      <w:r>
        <w:rPr>
          <w:rFonts w:ascii="微软雅黑" w:hAnsi="微软雅黑" w:eastAsia="微软雅黑"/>
          <w:color w:val="666666"/>
          <w:sz w:val="22"/>
        </w:rPr>
        <w:tab/>
        <w:t>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2.5  代码架构局限</w:t>
      </w:r>
      <w:r>
        <w:rPr>
          <w:rFonts w:ascii="微软雅黑" w:hAnsi="微软雅黑" w:eastAsia="微软雅黑"/>
          <w:color w:val="666666"/>
          <w:sz w:val="22"/>
        </w:rPr>
        <w:tab/>
        <w:t>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第三章  三种扩展方案对比</w:t>
      </w:r>
      <w:r>
        <w:rPr>
          <w:rFonts w:ascii="微软雅黑" w:hAnsi="微软雅黑" w:eastAsia="微软雅黑"/>
          <w:color w:val="666666"/>
          <w:sz w:val="22"/>
        </w:rPr>
        <w:tab/>
        <w:t>8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3.1  方案 A：单机 + 10GigE 高端服务器</w:t>
      </w:r>
      <w:r>
        <w:rPr>
          <w:rFonts w:ascii="微软雅黑" w:hAnsi="微软雅黑" w:eastAsia="微软雅黑"/>
          <w:color w:val="666666"/>
          <w:sz w:val="22"/>
        </w:rPr>
        <w:tab/>
        <w:t>8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3.2  方案 B：分布式边缘计算（推荐）</w:t>
      </w:r>
      <w:r>
        <w:rPr>
          <w:rFonts w:ascii="微软雅黑" w:hAnsi="微软雅黑" w:eastAsia="微软雅黑"/>
          <w:color w:val="666666"/>
          <w:sz w:val="22"/>
        </w:rPr>
        <w:tab/>
        <w:t>9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3.3  方案 C：Jetson 边缘 + YOLO AI</w:t>
      </w:r>
      <w:r>
        <w:rPr>
          <w:rFonts w:ascii="微软雅黑" w:hAnsi="微软雅黑" w:eastAsia="微软雅黑"/>
          <w:color w:val="666666"/>
          <w:sz w:val="22"/>
        </w:rPr>
        <w:tab/>
        <w:t>10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3.4  方案综合对比</w:t>
      </w:r>
      <w:r>
        <w:rPr>
          <w:rFonts w:ascii="微软雅黑" w:hAnsi="微软雅黑" w:eastAsia="微软雅黑"/>
          <w:color w:val="666666"/>
          <w:sz w:val="22"/>
        </w:rPr>
        <w:tab/>
        <w:t>11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第四章  推荐方案详细设计</w:t>
      </w:r>
      <w:r>
        <w:rPr>
          <w:rFonts w:ascii="微软雅黑" w:hAnsi="微软雅黑" w:eastAsia="微软雅黑"/>
          <w:color w:val="666666"/>
          <w:sz w:val="22"/>
        </w:rPr>
        <w:tab/>
        <w:t>12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4.1  总体架构</w:t>
      </w:r>
      <w:r>
        <w:rPr>
          <w:rFonts w:ascii="微软雅黑" w:hAnsi="微软雅黑" w:eastAsia="微软雅黑"/>
          <w:color w:val="666666"/>
          <w:sz w:val="22"/>
        </w:rPr>
        <w:tab/>
        <w:t>12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4.2  硬件清单</w:t>
      </w:r>
      <w:r>
        <w:rPr>
          <w:rFonts w:ascii="微软雅黑" w:hAnsi="微软雅黑" w:eastAsia="微软雅黑"/>
          <w:color w:val="666666"/>
          <w:sz w:val="22"/>
        </w:rPr>
        <w:tab/>
        <w:t>13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4.3  网络拓扑</w:t>
      </w:r>
      <w:r>
        <w:rPr>
          <w:rFonts w:ascii="微软雅黑" w:hAnsi="微软雅黑" w:eastAsia="微软雅黑"/>
          <w:color w:val="666666"/>
          <w:sz w:val="22"/>
        </w:rPr>
        <w:tab/>
        <w:t>14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4.4  软件架构</w:t>
      </w:r>
      <w:r>
        <w:rPr>
          <w:rFonts w:ascii="微软雅黑" w:hAnsi="微软雅黑" w:eastAsia="微软雅黑"/>
          <w:color w:val="666666"/>
          <w:sz w:val="22"/>
        </w:rPr>
        <w:tab/>
        <w:t>15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4.5  PLC 分配方案</w:t>
      </w:r>
      <w:r>
        <w:rPr>
          <w:rFonts w:ascii="微软雅黑" w:hAnsi="微软雅黑" w:eastAsia="微软雅黑"/>
          <w:color w:val="666666"/>
          <w:sz w:val="22"/>
        </w:rPr>
        <w:tab/>
        <w:t>16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第五章  中央聚合层开发方案</w:t>
      </w:r>
      <w:r>
        <w:rPr>
          <w:rFonts w:ascii="微软雅黑" w:hAnsi="微软雅黑" w:eastAsia="微软雅黑"/>
          <w:color w:val="666666"/>
          <w:sz w:val="22"/>
        </w:rPr>
        <w:tab/>
        <w:t>17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5.1  技术栈</w:t>
      </w:r>
      <w:r>
        <w:rPr>
          <w:rFonts w:ascii="微软雅黑" w:hAnsi="微软雅黑" w:eastAsia="微软雅黑"/>
          <w:color w:val="666666"/>
          <w:sz w:val="22"/>
        </w:rPr>
        <w:tab/>
        <w:t>17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5.2  API 接口设计</w:t>
      </w:r>
      <w:r>
        <w:rPr>
          <w:rFonts w:ascii="微软雅黑" w:hAnsi="微软雅黑" w:eastAsia="微软雅黑"/>
          <w:color w:val="666666"/>
          <w:sz w:val="22"/>
        </w:rPr>
        <w:tab/>
        <w:t>17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5.3  数据流与同步策略</w:t>
      </w:r>
      <w:r>
        <w:rPr>
          <w:rFonts w:ascii="微软雅黑" w:hAnsi="微软雅黑" w:eastAsia="微软雅黑"/>
          <w:color w:val="666666"/>
          <w:sz w:val="22"/>
        </w:rPr>
        <w:tab/>
        <w:t>18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5.4  开发工作量估算</w:t>
      </w:r>
      <w:r>
        <w:rPr>
          <w:rFonts w:ascii="微软雅黑" w:hAnsi="微软雅黑" w:eastAsia="微软雅黑"/>
          <w:color w:val="666666"/>
          <w:sz w:val="22"/>
        </w:rPr>
        <w:tab/>
        <w:t>19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第六章  分阶段实施路线图</w:t>
      </w:r>
      <w:r>
        <w:rPr>
          <w:rFonts w:ascii="微软雅黑" w:hAnsi="微软雅黑" w:eastAsia="微软雅黑"/>
          <w:color w:val="666666"/>
          <w:sz w:val="22"/>
        </w:rPr>
        <w:tab/>
        <w:t>20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6.1  阶段一：单节点验证（0-3 月）</w:t>
      </w:r>
      <w:r>
        <w:rPr>
          <w:rFonts w:ascii="微软雅黑" w:hAnsi="微软雅黑" w:eastAsia="微软雅黑"/>
          <w:color w:val="666666"/>
          <w:sz w:val="22"/>
        </w:rPr>
        <w:tab/>
        <w:t>20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6.2  阶段二：分布式部署（3-9 月）</w:t>
      </w:r>
      <w:r>
        <w:rPr>
          <w:rFonts w:ascii="微软雅黑" w:hAnsi="微软雅黑" w:eastAsia="微软雅黑"/>
          <w:color w:val="666666"/>
          <w:sz w:val="22"/>
        </w:rPr>
        <w:tab/>
        <w:t>21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6.3  阶段三：AI 升级（9-18 月）</w:t>
      </w:r>
      <w:r>
        <w:rPr>
          <w:rFonts w:ascii="微软雅黑" w:hAnsi="微软雅黑" w:eastAsia="微软雅黑"/>
          <w:color w:val="666666"/>
          <w:sz w:val="22"/>
        </w:rPr>
        <w:tab/>
        <w:t>22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第七章  成本预算</w:t>
      </w:r>
      <w:r>
        <w:rPr>
          <w:rFonts w:ascii="微软雅黑" w:hAnsi="微软雅黑" w:eastAsia="微软雅黑"/>
          <w:color w:val="666666"/>
          <w:sz w:val="22"/>
        </w:rPr>
        <w:tab/>
        <w:t>23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7.1  硬件成本</w:t>
      </w:r>
      <w:r>
        <w:rPr>
          <w:rFonts w:ascii="微软雅黑" w:hAnsi="微软雅黑" w:eastAsia="微软雅黑"/>
          <w:color w:val="666666"/>
          <w:sz w:val="22"/>
        </w:rPr>
        <w:tab/>
        <w:t>23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7.2  软件开发成本</w:t>
      </w:r>
      <w:r>
        <w:rPr>
          <w:rFonts w:ascii="微软雅黑" w:hAnsi="微软雅黑" w:eastAsia="微软雅黑"/>
          <w:color w:val="666666"/>
          <w:sz w:val="22"/>
        </w:rPr>
        <w:tab/>
        <w:t>23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7.3  运维成本（三年）</w:t>
      </w:r>
      <w:r>
        <w:rPr>
          <w:rFonts w:ascii="微软雅黑" w:hAnsi="微软雅黑" w:eastAsia="微软雅黑"/>
          <w:color w:val="666666"/>
          <w:sz w:val="22"/>
        </w:rPr>
        <w:tab/>
        <w:t>24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7.4  总预算与 ROI</w:t>
      </w:r>
      <w:r>
        <w:rPr>
          <w:rFonts w:ascii="微软雅黑" w:hAnsi="微软雅黑" w:eastAsia="微软雅黑"/>
          <w:color w:val="666666"/>
          <w:sz w:val="22"/>
        </w:rPr>
        <w:tab/>
        <w:t>24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第八章  风险评估与应对</w:t>
      </w:r>
      <w:r>
        <w:rPr>
          <w:rFonts w:ascii="微软雅黑" w:hAnsi="微软雅黑" w:eastAsia="微软雅黑"/>
          <w:color w:val="666666"/>
          <w:sz w:val="22"/>
        </w:rPr>
        <w:tab/>
        <w:t>25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8.1  技术风险</w:t>
      </w:r>
      <w:r>
        <w:rPr>
          <w:rFonts w:ascii="微软雅黑" w:hAnsi="微软雅黑" w:eastAsia="微软雅黑"/>
          <w:color w:val="666666"/>
          <w:sz w:val="22"/>
        </w:rPr>
        <w:tab/>
        <w:t>25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8.2  项目风险</w:t>
      </w:r>
      <w:r>
        <w:rPr>
          <w:rFonts w:ascii="微软雅黑" w:hAnsi="微软雅黑" w:eastAsia="微软雅黑"/>
          <w:color w:val="666666"/>
          <w:sz w:val="22"/>
        </w:rPr>
        <w:tab/>
        <w:t>26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8.3  运维风险</w:t>
      </w:r>
      <w:r>
        <w:rPr>
          <w:rFonts w:ascii="微软雅黑" w:hAnsi="微软雅黑" w:eastAsia="微软雅黑"/>
          <w:color w:val="666666"/>
          <w:sz w:val="22"/>
        </w:rPr>
        <w:tab/>
        <w:t>26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第九章  验收标准</w:t>
      </w:r>
      <w:r>
        <w:rPr>
          <w:rFonts w:ascii="微软雅黑" w:hAnsi="微软雅黑" w:eastAsia="微软雅黑"/>
          <w:color w:val="666666"/>
          <w:sz w:val="22"/>
        </w:rPr>
        <w:tab/>
        <w:t>27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9.1  功能验收</w:t>
      </w:r>
      <w:r>
        <w:rPr>
          <w:rFonts w:ascii="微软雅黑" w:hAnsi="微软雅黑" w:eastAsia="微软雅黑"/>
          <w:color w:val="666666"/>
          <w:sz w:val="22"/>
        </w:rPr>
        <w:tab/>
        <w:t>27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9.2  性能验收</w:t>
      </w:r>
      <w:r>
        <w:rPr>
          <w:rFonts w:ascii="微软雅黑" w:hAnsi="微软雅黑" w:eastAsia="微软雅黑"/>
          <w:color w:val="666666"/>
          <w:sz w:val="22"/>
        </w:rPr>
        <w:tab/>
        <w:t>27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 xml:space="preserve">    9.3  可靠性验收</w:t>
      </w:r>
      <w:r>
        <w:rPr>
          <w:rFonts w:ascii="微软雅黑" w:hAnsi="微软雅黑" w:eastAsia="微软雅黑"/>
          <w:color w:val="666666"/>
          <w:sz w:val="22"/>
        </w:rPr>
        <w:tab/>
        <w:t>28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附录 A  PLC 标签清单（30 漏斗）</w:t>
      </w:r>
      <w:r>
        <w:rPr>
          <w:rFonts w:ascii="微软雅黑" w:hAnsi="微软雅黑" w:eastAsia="微软雅黑"/>
          <w:color w:val="666666"/>
          <w:sz w:val="22"/>
        </w:rPr>
        <w:tab/>
        <w:t>29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附录 B  网络配置建议</w:t>
      </w:r>
      <w:r>
        <w:rPr>
          <w:rFonts w:ascii="微软雅黑" w:hAnsi="微软雅黑" w:eastAsia="微软雅黑"/>
          <w:color w:val="666666"/>
          <w:sz w:val="22"/>
        </w:rPr>
        <w:tab/>
        <w:t>30</w:t>
      </w:r>
    </w:p>
    <w:p>
      <w:pPr>
        <w:tabs>
          <w:tab w:pos="9071" w:val="right"/>
        </w:tabs>
        <w:spacing w:after="40"/>
      </w:pPr>
      <w:r>
        <w:rPr>
          <w:rFonts w:ascii="微软雅黑" w:hAnsi="微软雅黑" w:eastAsia="微软雅黑"/>
          <w:sz w:val="22"/>
        </w:rPr>
        <w:t>附录 C  运维手册大纲</w:t>
      </w:r>
      <w:r>
        <w:rPr>
          <w:rFonts w:ascii="微软雅黑" w:hAnsi="微软雅黑" w:eastAsia="微软雅黑"/>
          <w:color w:val="666666"/>
          <w:sz w:val="22"/>
        </w:rPr>
        <w:tab/>
        <w:t>31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第一章  项目背景与需求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1.1  当前系统概况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翻车机积煤检测系统 V3.0 是基于计算机视觉的工业级积煤检测解决方案，用于煤矿翻车机房格栅积煤的实时检测，与可编程逻辑控制器（PLC）实现安全连锁控制。系统采用"宁可漏报，不可误报"的安全原则，防止误报引发翻车机急停造成的煤车倾倒卡死事故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当前硬件环境：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型号/规格</w:t>
            </w:r>
          </w:p>
        </w:tc>
        <w:tc>
          <w:tcPr>
            <w:tcW w:type="dxa" w:w="425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工控机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Windows 10 Pro，IP: 192.168.1.10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 3.10+，单机运行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Basler acA1600-60gm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Mono8 灰度, 1600×1200, GigE，IP: 192.168.1.12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AB 1769-L16ER/B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CompactLogix, Ethernet/IP，IP: 192.168.1.19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千兆工业交换机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相机/PLC/工控机互联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采集频率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5.5 FPS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GigE 带宽限制下的稳定帧率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检测延迟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&lt; 150ms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端到端（采集→检测→PLC写入）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当前软件架构：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708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技术细节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核心检测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ECC 配准 + CLAHE 增强 + 双因素检测（格栅计数+积煤面积）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判定逻辑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三级置信度（HIGH/MEDIUM/LOW）+ 多帧投票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采集模式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触发窗口采集（翻车机回位后定时采集）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协议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 标签完整协议（心跳、故障码、结果、采集状态、翻车机位置）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管理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FastAPI + WebSocket，四级页面（总览/机器/漏斗/设置）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安全连锁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can_tip 三重保护：coal_present+need_manual+fault_code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连续运行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验证稳定性 95 小时以上，内存稳定 180-210MB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1.2  扩展需求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随着煤矿生产规模扩大和自动化程度提升，单台翻车机单漏斗的检测范围已无法满足业务需求。煤矿现场预计部署以下规模：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6 台翻车机（每台独立 PLC 控制）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每台翻车机配 5 个卸煤漏斗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总计 30 个漏斗、30 台相机需要同步检测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要求统一的中央监控与历史数据查询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未来可进一步扩展到 60+ 漏斗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1.3  扩展目标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目标维度</w:t>
            </w:r>
          </w:p>
        </w:tc>
        <w:tc>
          <w:tcPr>
            <w:tcW w:type="dxa" w:w="6803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具体指标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功能完整性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漏斗同时检测，检测精度和延迟与当前单漏斗一致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可靠性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单点故障不影响全局，MTBF ≥ 500 小时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可扩展性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支持平滑扩展到 60 漏斗（不需要重构架构）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可维护性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远程部署、集中监控、分布式调试能力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成本控制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硬件投资回报周期 ≤ 3 年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兼容性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复用当前代码 90% 以上，避免推倒重来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安全性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保留 V3.0 所有安全连锁逻辑（65 项审查修复全部保留）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第二章  单机架构瓶颈分析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在决定扩展方案之前，首先必须定量分析当前单机架构的性能瓶颈，确认"单机能否承载 30 漏斗"的问题。以下从五个维度进行系统性评估：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2.1  网络带宽瓶颈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单相机数据带宽计算：</w:t>
      </w:r>
    </w:p>
    <w:p>
      <w:pPr>
        <w:spacing w:before="60" w:after="60"/>
        <w:ind w:left="283"/>
        <w:shd w:val="clear" w:fill="F5F5F5"/>
      </w:pPr>
      <w:r>
        <w:rPr>
          <w:rFonts w:ascii="Consolas" w:hAnsi="Consolas"/>
          <w:color w:val="333333"/>
          <w:sz w:val="19"/>
        </w:rPr>
        <w:t>带宽 = 分辨率 × 像素深度 × 帧率</w:t>
        <w:br/>
        <w:t xml:space="preserve">     = 1600 × 1200 × 1 byte (Mono8) × 5.5 fps</w:t>
        <w:br/>
        <w:t xml:space="preserve">     = 10.56 MB/s</w:t>
        <w:br/>
        <w:br/>
        <w:t>30 相机总带宽 = 10.56 × 30 = 316.8 MB/s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GigE 网络承载能力：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速率</w:t>
            </w:r>
          </w:p>
        </w:tc>
        <w:tc>
          <w:tcPr>
            <w:tcW w:type="dxa" w:w="425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GigE 理论带宽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1000 Mbps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125 MB/s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GigE 实际可用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~800 Mbps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~100 MB/s（留 20% 余量防丢包）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单相机带宽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85 Mbps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10.56 MB/s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相机需求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2534 Mbps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316.8 MB/s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超出比例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3.2 倍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严重过载，必然丢包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理论上限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~9 相机/GigE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实测 6-7 相机最稳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/>
          <w:color w:val="C00000"/>
          <w:sz w:val="22"/>
        </w:rPr>
        <w:t>结论：GigE 单端口最多支持 6-7 台相机稳定采集。30 漏斗需要至少 5 个独立 GigE 端口，或升级到 10GigE 网络（仅服务器端）。这是单机架构扩展到 30 漏斗的第一个硬性瓶颈。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2.2  CPU 与内存分析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处理步骤</w:t>
            </w:r>
          </w:p>
        </w:tc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耗时</w:t>
            </w:r>
          </w:p>
        </w:tc>
        <w:tc>
          <w:tcPr>
            <w:tcW w:type="dxa" w:w="51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优化方式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ECC 配准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15-20ms/帧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降采样 320×240 + 5 次迭代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CLAHE 增强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5-10ms/帧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复用预创建对象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格栅计数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5-8ms/帧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二值化 + 轮廓面积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积煤面积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3-5ms/帧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HSV 分割向量化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综合判定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&lt;1ms/帧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简单条件判断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单帧总耗时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30-45ms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单线程单核心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单漏斗 CPU 占用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15-20%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按 5.5 FPS + 1 核心基准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漏斗总 CPU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450-600%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需要 5-6 核心满载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CPU 结论：现代 8-16 核心工控机在理论上可支持 30 漏斗的计算负载，但仍需考虑：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线程切换开销（30+ 后台 worker）随并发度上升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Web/WebSocket 并发消耗（最多 30 路视频推流）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PLC 心跳与故障处理线程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最高峰值可能达到 80% 使用率，余量不足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内存分析：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内存项目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占用</w:t>
            </w:r>
          </w:p>
        </w:tc>
        <w:tc>
          <w:tcPr>
            <w:tcW w:type="dxa" w:w="45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单漏斗 StateManager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~30 MB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Detector、buffer、config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漏斗总计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~900 MB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仅状态对象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缓存与队列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~200 MB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WebSocket、日志、snapshot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Python 运行时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~200 MB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解释器、库加载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OS + 系统服务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~2 GB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Windows 10 Pro 基础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建议配置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≥ 16 GB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留 50% 余量防止 swap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2.3  线程与连接数评估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线程类型</w:t>
            </w:r>
          </w:p>
        </w:tc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51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心跳线程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个/PLC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个 PLC = 6 个心跳线程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 worker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个/漏斗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个漏斗 = 30 个 worker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相机采集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个/漏斗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个采集线程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检测执行池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8 个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共享全局池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采集执行池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 个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共享全局池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WebSocket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~30 个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浏览器实时连接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FastAPI 请求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~10 个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HTTP API 并发处理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总估算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~100-150 个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 Python 进程承载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线程数约 100-150 个在 Windows 平台上属于可控范围，但需要注意：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GIL（Python 全局锁）导致 CPU 密集型检测任务无法真并发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单进程线程数过多增加上下文切换开销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一个线程崩溃可能影响整个进程（需要 watchdog）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2.4  存储与 PLC 负载分析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存储压力：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当前单漏斗运行 1 个月约产生 74000 张报警图像，占用 21GB 磁盘空间。扩展到 30 漏斗后的存储增长：</w:t>
      </w:r>
    </w:p>
    <w:p>
      <w:pPr>
        <w:spacing w:before="60" w:after="60"/>
        <w:ind w:left="283"/>
        <w:shd w:val="clear" w:fill="F5F5F5"/>
      </w:pPr>
      <w:r>
        <w:rPr>
          <w:rFonts w:ascii="Consolas" w:hAnsi="Consolas"/>
          <w:color w:val="333333"/>
          <w:sz w:val="19"/>
        </w:rPr>
        <w:t>单漏斗：74000 张/月 × 300KB/张 ≈ 21 GB/月</w:t>
        <w:br/>
        <w:t>30 漏斗：21 × 30 = 630 GB/月</w:t>
        <w:br/>
        <w:t>年度：630 × 12 = 7.56 TB/年</w:t>
        <w:br/>
        <w:br/>
        <w:t>当前本机磁盘余量：663 GB</w:t>
        <w:br/>
        <w:t>运行时长：约 1 个月即满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PLC 压力：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每台翻车机独立 PLC（1769-L16ER），30 漏斗对应 6 台 PLC，每台 PLC 承载 5 漏斗：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每台 PLC 点位数：9 个（心跳、故障、结果等） × 5 漏斗 = 45 个点位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心跳频率：500ms/次，即 2 次/秒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PLC 扫描周期：约 10-50ms，压力可控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集中工控机并发访问 6 个 PLC，pycomm3 连接数可能成为瓶颈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2.5  代码架构局限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架构限制</w:t>
            </w:r>
          </w:p>
        </w:tc>
        <w:tc>
          <w:tcPr>
            <w:tcW w:type="dxa" w:w="6236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影响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StateManager 集中管理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所有漏斗状态在一个进程内，单点失败影响全局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连接共享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pycomm3 非线程安全，必须全局 _io_lock 串行化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单进程部署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无法利用多核真并行（GIL），无进程隔离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单入口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 HTTP/WebSocket 流量集中在一个 FastAPI 实例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配置耦合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devices.yaml 必须包含所有设备，无法分布式配置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日志集中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所有日志写入同一文件，30 漏斗后日志量过大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/>
          <w:color w:val="C00000"/>
          <w:sz w:val="22"/>
        </w:rPr>
        <w:t>综合评估结论：当前单机架构在网络带宽、存储、架构弹性三个维度上均无法承载 30 漏斗的规模。必须改为分布式架构。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第三章  三种扩展方案对比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基于第二章的瓶颈分析，本章提出三种可行的扩展方案，从硬件成本、软件改造、运维复杂度、扩展性等维度进行对比，为最终决策提供依据。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3.1  方案 A：单机 + 10GigE 高端服务器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方案描述：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升级单台工控机为高性能服务器（Xeon Gold 32 核 + 64GB 内存），配置 10GigE 网络，所有 30 台相机接入同一 10GigE 交换机。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硬件配置：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硬件项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CPU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Intel Xeon Gold 6338 32核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3.5 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内存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64GB DDR4 ECC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0.5 万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双 10GigE 网卡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0.8 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存储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NVMe SSD 4TB + HDD 8TB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0.6 万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核心交换机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48 口管理型 10GigE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3 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服务器机架与 UPS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机柜 + 2KVA UPS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2 万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相机与线缆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× Basler + GigE 线缆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9 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19.4 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优势：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代码改动最小（仍为单机架构）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统一管理、统一部署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无分布式通信复杂度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劣势：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单点故障：服务器宕机 30 漏斗全停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相机线缆长度受限（GigE 标准 100 米），现场布线困难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GIL 限制：无法真正利用 32 核并行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扩展到 60 漏斗需再次升级硬件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⚠️ 一次性投资大，无法分期部署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666666"/>
          <w:sz w:val="22"/>
        </w:rPr>
        <w:t>适用场景：小规模（&lt;20 漏斗）、布线条件好、对单点故障容忍度高的场景。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3.2  方案 B：分布式边缘计算（推荐）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方案描述：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部署 6 台边缘工控机节点，每台负责 5 漏斗（对应 1 台翻车机 + 1 台 PLC）。配合 1 台中央服务器进行状态聚合、历史数据存储与统一 Web 展示。每个边缘节点独立运行，单点故障只影响 1/6 漏斗。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拓扑结构：</w:t>
      </w:r>
    </w:p>
    <w:p>
      <w:pPr>
        <w:spacing w:before="60" w:after="60"/>
        <w:ind w:left="283"/>
        <w:shd w:val="clear" w:fill="F5F5F5"/>
      </w:pPr>
      <w:r>
        <w:rPr>
          <w:rFonts w:ascii="Consolas" w:hAnsi="Consolas"/>
          <w:color w:val="333333"/>
          <w:sz w:val="19"/>
        </w:rPr>
        <w:t xml:space="preserve">                    ┌─────────────────┐</w:t>
        <w:br/>
        <w:t xml:space="preserve">                    │  中央监控服务器  │</w:t>
        <w:br/>
        <w:t xml:space="preserve">                    │ （聚合/存储/Web）│</w:t>
        <w:br/>
        <w:t xml:space="preserve">                    └────────┬────────┘</w:t>
        <w:br/>
        <w:t xml:space="preserve">                             │ 千兆以太网</w:t>
        <w:br/>
        <w:t xml:space="preserve">         ┌──────┬──────┬─────┴────┬──────┬──────┐</w:t>
        <w:br/>
        <w:t xml:space="preserve">         │      │      │          │      │      │</w:t>
        <w:br/>
        <w:t xml:space="preserve">      ┌──┴──┐┌──┴──┐┌──┴──┐   ┌──┴──┐┌──┴──┐┌──┴──┐</w:t>
        <w:br/>
        <w:t xml:space="preserve">      │边缘1 ││边缘2 ││边缘3 │…  │边缘4 ││边缘5 ││边缘6 │</w:t>
        <w:br/>
        <w:t xml:space="preserve">      │5漏斗││5漏斗││5漏斗│   │5漏斗││5漏斗││5漏斗│</w:t>
        <w:br/>
        <w:t xml:space="preserve">      └──┬──┘└──┬──┘└──┬──┘   └──┬──┘└──┬──┘└──┬──┘</w:t>
        <w:br/>
        <w:t xml:space="preserve">      Cam×5 PLC Cam×5 PLC Cam×5 PLC ……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硬件配置：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硬件项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小计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工控机 i7-12700/16GB/1TB SSD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台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i7-12700/32GB/4TB SSD + 8TB HDD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边缘交换机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8 口管理型 GigE 工业交换机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核心交换机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台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24 口管理型 GigE 交换机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相机与线缆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套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Basler acA1600-60gm + 30m 线缆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0.3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UPS 电源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套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3KVA 机架式 UPS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机柜与辅材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标准 42U 机柜 + 理线架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0.5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25.5 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优势：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单点故障隔离：1 节点挂掉只影响 5 漏斗，其余正常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代码高度复用：边缘节点 = 当前单机系统，只改配置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分期部署：可先部署 2-3 节点，稳定后再扩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相机线缆距离：每节点靠近相机安装，线缆短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扩展性好：30 → 60 只需加 6 个节点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运维灵活：单节点维护不影响其他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劣势：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⚠️ 需要开发中央聚合层（约 2-3 周）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⚠️ 运维复杂度略高（管理 6 台 IPC）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⚠️ 节点间时钟同步要求（NTP）</w:t>
      </w:r>
    </w:p>
    <w:p>
      <w:pPr>
        <w:spacing w:after="120"/>
        <w:ind w:firstLine="420"/>
      </w:pPr>
      <w:r>
        <w:rPr>
          <w:rFonts w:ascii="微软雅黑" w:hAnsi="微软雅黑" w:eastAsia="微软雅黑"/>
          <w:b/>
          <w:color w:val="008000"/>
          <w:sz w:val="22"/>
        </w:rPr>
        <w:t>适用场景：中大规模（10+ 漏斗）、对可用性要求高、希望平滑扩展的工业场景。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3.3  方案 C：Jetson 边缘 + YOLO AI（未来架构）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方案描述：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将边缘节点升级为 NVIDIA Jetson AGX Orin 嵌入式 GPU 平台，配合 YOLO v11 深度学习模型进行积煤检测。GPU 推理延迟 &lt;20ms，检测精度远超传统 CV 算法，同时功耗更低、体积更小。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硬件项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小计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Jetson 边缘节点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AGX Orin 64GB Dev Kit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1.8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10.8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台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i7/32GB + GPU 训练卡 RTX 4070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交换机与辅助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套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同方案 B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相机与线缆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套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同方案 B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0.3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 万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软件开发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次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YOLO 模型训练 + 部署开发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30.8 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优势：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检测精度大幅提升（YOLO &gt; 传统 CV）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抗干扰性好（光照/震动/背景变化）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嵌入式设备功耗低（&lt;60W）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✅ 技术前沿，符合智能化趋势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劣势：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开发周期长（3-6 个月：数据采集+标注+训练+部署）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需要大量标注数据（至少 5000+ 张积煤图像）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❌ 初期成本高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⚠️ YOLO 模型黑盒，不如传统 CV 易调试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color w:val="666666"/>
          <w:sz w:val="22"/>
        </w:rPr>
        <w:t>建议：方案 C 作为长期演进目标，在方案 B 稳定运行、积累足够训练数据后逐步替换。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3.4  方案综合对比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对比维度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方案 A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方案 B（推荐）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方案 C（未来）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一次性投资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19.4 万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25.5 万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30.8 万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开发周期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周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4-6 周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3-6 月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代码复用率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95%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90%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50%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单点故障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❌ 严重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✅ 隔离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✅ 隔离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检测精度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基准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基准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★★★★★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扩展性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一般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优秀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优秀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运维难度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中高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功耗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高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技术风险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适用阶段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短期过渡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中期主力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长期目标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/>
          <w:color w:val="008000"/>
          <w:sz w:val="22"/>
        </w:rPr>
        <w:t>最终建议：采用方案 B（分布式边缘计算）作为当前扩展的主力架构，方案 C 作为 12-18 个月后的技术演进方向。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第四章  推荐方案详细设计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4.1  总体架构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方案 B 采用三层架构：边缘层（边缘节点）+ 聚合层（中央服务器）+ 展示层（Web 前端）。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节点</w:t>
            </w:r>
          </w:p>
        </w:tc>
        <w:tc>
          <w:tcPr>
            <w:tcW w:type="dxa" w:w="51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边缘层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台 IPC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本地检测、PLC 控制、采集窗口状态机、本地报警存储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聚合层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台中央服务器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状态聚合、历史数据、告警推送、统一 API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展示层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前端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统一总览页、30 漏斗卡片、远程管理、历史查询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设计原则：</w:t>
      </w:r>
    </w:p>
    <w:p>
      <w:pPr>
        <w:pStyle w:val="ListNumber"/>
        <w:ind w:left="425"/>
      </w:pPr>
      <w:r>
        <w:rPr>
          <w:rFonts w:ascii="微软雅黑" w:hAnsi="微软雅黑" w:eastAsia="微软雅黑"/>
          <w:sz w:val="22"/>
        </w:rPr>
        <w:t>边缘自治：每个边缘节点可独立运行，脱离中央服务器也能保证安全连锁</w:t>
      </w:r>
    </w:p>
    <w:p>
      <w:pPr>
        <w:pStyle w:val="ListNumber"/>
        <w:ind w:left="425"/>
      </w:pPr>
      <w:r>
        <w:rPr>
          <w:rFonts w:ascii="微软雅黑" w:hAnsi="微软雅黑" w:eastAsia="微软雅黑"/>
          <w:sz w:val="22"/>
        </w:rPr>
        <w:t>异步聚合：中央服务器通过 HTTP 轮询边缘节点，不阻塞边缘检测</w:t>
      </w:r>
    </w:p>
    <w:p>
      <w:pPr>
        <w:pStyle w:val="ListNumber"/>
        <w:ind w:left="425"/>
      </w:pPr>
      <w:r>
        <w:rPr>
          <w:rFonts w:ascii="微软雅黑" w:hAnsi="微软雅黑" w:eastAsia="微软雅黑"/>
          <w:sz w:val="22"/>
        </w:rPr>
        <w:t>统一 Web：用户访问中央 Web，看到所有 30 漏斗；也可直连边缘 Web 调试</w:t>
      </w:r>
    </w:p>
    <w:p>
      <w:pPr>
        <w:pStyle w:val="ListNumber"/>
        <w:ind w:left="425"/>
      </w:pPr>
      <w:r>
        <w:rPr>
          <w:rFonts w:ascii="微软雅黑" w:hAnsi="微软雅黑" w:eastAsia="微软雅黑"/>
          <w:sz w:val="22"/>
        </w:rPr>
        <w:t>无状态聚合：中央服务器不存储实时状态，只做数据中转和历史归档</w:t>
      </w:r>
    </w:p>
    <w:p>
      <w:pPr>
        <w:pStyle w:val="ListNumber"/>
        <w:ind w:left="425"/>
      </w:pPr>
      <w:r>
        <w:rPr>
          <w:rFonts w:ascii="微软雅黑" w:hAnsi="微软雅黑" w:eastAsia="微软雅黑"/>
          <w:sz w:val="22"/>
        </w:rPr>
        <w:t>故障降级：中央服务器宕机不影响边缘检测与 PLC 控制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4.2  硬件清单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边缘节点配置（每台，共 6 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部件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CPU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Intel Core i7-12700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12 核 20 线程，3.6GHz 睿频 4.9GHz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内存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16GB DDR4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双通道，预留扩展到 32GB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存储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1TB NVMe SSD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500GB 系统 + 500GB 报警图像缓存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双千兆网口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口接相机网，1 口接管理网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机箱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无风扇工控机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宽温 -20℃～60℃，防尘 IP65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操作系统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Windows 10 IoT Enterprise LTSC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长期稳定维护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中央服务器配置：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部件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规格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CPU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Intel Core i7-12700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12 核 20 线程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内存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32GB DDR4 ECC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错误校正防止数据损坏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系统盘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512GB NVMe SSD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操作系统与应用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数据盘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4TB NVMe SSD + 8TB HDD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SSD 热数据 + HDD 冷备份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千兆以太网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接核心交换机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UPS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3KVA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断电保护 30 分钟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操作系统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Windows Server 2022 或 Ubuntu 22.04 LTS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优先 Linux（稳定性）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网络设备：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设备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型号建议</w:t>
            </w:r>
          </w:p>
        </w:tc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核心交换机 × 1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H3C S5120V3-28P-SI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24 千兆电口 + 4 SFP 上联，VLAN 划分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边缘交换机 × 6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H3C S1208P-PWR-HPWR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8 口千兆 PoE，支持 VLAN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路由器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支持远程访问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为运维留一条 VPN 通道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4.3  网络拓扑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IP 地址规划：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网段</w:t>
            </w:r>
          </w:p>
        </w:tc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IP 范围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用途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管理网段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192.168.1.0/24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中央服务器、边缘节点、运维管理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机器-1 采集网段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192.168.101.0/24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1 节点及其 5 相机 + PLC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机器-2 采集网段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192.168.102.0/24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2 节点及其 5 相机 + PLC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机器-3 采集网段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192.168.103.0/24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3 节点及其 5 相机 + PLC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机器-4 采集网段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192.168.104.0/24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4 节点及其 5 相机 + PLC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机器-5 采集网段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192.168.105.0/24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5 节点及其 5 相机 + PLC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机器-6 采集网段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192.168.106.0/24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 6 节点及其 5 相机 + PLC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每个边缘节点内部 IP 分配：</w:t>
      </w:r>
    </w:p>
    <w:p>
      <w:pPr>
        <w:spacing w:before="60" w:after="60"/>
        <w:ind w:left="283"/>
        <w:shd w:val="clear" w:fill="F5F5F5"/>
      </w:pPr>
      <w:r>
        <w:rPr>
          <w:rFonts w:ascii="Consolas" w:hAnsi="Consolas"/>
          <w:color w:val="333333"/>
          <w:sz w:val="19"/>
        </w:rPr>
        <w:t>192.168.10X.1    边缘节点（管理+采集网关）</w:t>
        <w:br/>
        <w:t>192.168.10X.10   PLC (1769-L16ER)</w:t>
        <w:br/>
        <w:t>192.168.10X.12   相机 1</w:t>
        <w:br/>
        <w:t>192.168.10X.13   相机 2</w:t>
        <w:br/>
        <w:t>192.168.10X.14   相机 3</w:t>
        <w:br/>
        <w:t>192.168.10X.15   相机 4</w:t>
        <w:br/>
        <w:t>192.168.10X.16   相机 5</w:t>
        <w:br/>
        <w:br/>
        <w:t>（X = 1~6 对应机器 1~6）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VLAN 划分：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VLAN 10：管理网（中央服务器 + 边缘节点管理口）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VLAN 101-106：采集网 1-6（各边缘节点独立采集网段隔离）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采集网络不与管理网互通，防止广播风暴与带宽争抢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4.4  软件架构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边缘节点软件（基本复用当前代码）：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改动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web.unified_app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FastAPI 主应用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保持不变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web.state_manager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状态管理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保持不变，只管理本节点 5 漏斗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core.capture_window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采集窗口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保持不变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algo.detector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检测算法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保持不变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plc.allen_bradley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通信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保持不变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config/devices.yaml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本节点配置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只配 1 机 5 漏斗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(新增) web.report_client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上报客户端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定时上报状态到中央服务器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中央服务器软件（新开发）：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职责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web.central_app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FastAPI 聚合应用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新开发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central.aggregator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状态聚合器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定时从各边缘拉取 /api/overview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central.storage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历史数据存储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SQLite / PostgreSQL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central.alert_router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告警路由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将边缘告警推送给运维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(新增) Web 总览页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漏斗统一展示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新开发前端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4.5  PLC 分配方案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翻车机</w:t>
            </w:r>
          </w:p>
        </w:tc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PLC 地址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漏斗范围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归属边缘节点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1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1 (192.168.101.10)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1-1 ～ 1-5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1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2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2 (192.168.102.10)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2-1 ～ 2-5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2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3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3 (192.168.103.10)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3-1 ～ 3-5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3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4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4 (192.168.104.10)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4-1 ～ 4-5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4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5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5 (192.168.105.10)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5-1 ～ 5-5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5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 6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6 (192.168.106.10)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6-1 ～ 6-5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6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每台 PLC 沿用 V3.0 的完整 9 标签协议（IPC_Heartbeat、IPC_Online、Vision_CanTip、Vision_FaultCode、Vision_ResultValid、Vision_Enable、Vision_CaptureState、PLC_CaptureCmd、Tipper_InPosition），PLC 梯形图无需改动。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第五章  中央聚合层开发方案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5.1  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组件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选型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理由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框架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FastAPI + Uvicorn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与边缘节点一致，复用模板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数据存储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PostgreSQL 16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历史数据、告警、审计日志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时序数据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TimescaleDB 扩展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心跳、检测结果时序分析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消息队列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Redis Streams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告警路由、跨节点通信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任务调度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APScheduler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定时聚合、归档、健康检查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前端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Vue 3 + ECharts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比当前 Jinja 模板更现代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部署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Docker Compose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快速部署、易维护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5.2  API 接口设计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中央服务器 API：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方法</w:t>
            </w:r>
          </w:p>
        </w:tc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路径</w:t>
            </w:r>
          </w:p>
        </w:tc>
        <w:tc>
          <w:tcPr>
            <w:tcW w:type="dxa" w:w="45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GET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/api/central/overview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 6 节点 × 5 漏斗 = 30 漏斗的聚合状态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GET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/api/central/edges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边缘节点列表与在线状态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GET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/api/central/edge/{id}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单个边缘节点详情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GET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/api/central/history/alarms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历史告警查询（分页）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GET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/api/central/history/timeline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采集窗口时间线（最近 1000 条）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POST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/api/central/admin/edge/{id}/action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对指定边缘节点下发控制命令（启/停）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边缘节点上报 API（被动拉取）：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中央服务器定时（如每 3 秒）调用边缘节点的 /api/overview 聚合状态，不需要边缘节点主动推送。这种设计简单且健壮——边缘节点无需知道中央服务器的存在。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5.3  数据流与同步策略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三种数据流：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数据流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拉取方式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处理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实时状态流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秒/次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轮询 /api/overview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内存缓存，供 Web 展示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告警流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事件驱动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轮询 /api/faults/all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变化检测，入库存档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历史归档流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每小时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批量拉取检测记录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PostgreSQL 归档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数据一致性保证：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边缘节点生成 UUID 作为检测记录主键，中央服务器按 UUID 去重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时钟同步：所有节点 NTP 同步到同一时钟源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网络中断恢复：边缘节点本地持久化待上报数据，恢复后补传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中央服务器宕机：边缘节点独立运行，不影响安全连锁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5.4  开发工作量估算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工期</w:t>
            </w:r>
          </w:p>
        </w:tc>
        <w:tc>
          <w:tcPr>
            <w:tcW w:type="dxa" w:w="5386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边缘节点改造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0.5 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仅需在 web.state_manager 加 edge_id 字段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中央聚合器开发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定时拉取 + 内存缓存 + 去重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 Web API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个 REST API + WebSocket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 Web 前端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Vue 3 总览页 + 历史查询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数据库设计与实现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0.5 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 张表 + 索引 + 视图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部署脚本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0.3 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Docker Compose + 初始化脚本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联调测试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多节点联调 + 故障注入测试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文档与交付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0.2 周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运维手册 + API 文档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总计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周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由 1 名高级工程师完成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第六章  分阶段实施路线图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分阶段实施可以控制风险、快速验证、灵活调整。本章制定三阶段路线图，每阶段有明确的交付物与验收标准。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6.1  阶段一：单节点验证（0-3 月）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目标：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在现有单机 + 单 PLC 的基础上，扩展到 5 漏斗配置。验证单节点承载 5 漏斗的稳定性，为后续多节点部署积累数据。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交付物/验收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补光灯安装 + 现场标定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解决 fault_code=3 画面全黑问题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采购 4 台相机 + 4 台PLC（或复用现有 PLC 多漏斗标签）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扩展硬件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2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配置 5 漏斗的 devices.yaml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修改配置文件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2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格栅 ROI 标定（4 个新漏斗）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使用 tools/grid_calibrator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2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阈值调优（grid_ratio, coverage）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根据真实积煤数据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3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连续运行验证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72 小时无崩溃，误报率 &lt; 1%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3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生成阶段性报告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性能数据、问题清单、优化建议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阶段一投入：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硬件：4 × 相机 + 线缆 = 约 1.5 万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人力：0.5 人·月（现场标定 + 测试）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风险：现场布线、补光灯采购周期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6.2  阶段二：分布式部署（3-9 月）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目标：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按方案 B 部署 6 个边缘节点 + 1 个中央服务器，实现 30 漏斗的完整检测能力与统一监控。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交付物/验收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4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采购全部硬件（5 边缘节点 + 中央服务器 + 交换机）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硬件到位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4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开发中央聚合层（Week 1-4）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 API 开发完成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5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 Web 前端开发 + 联调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 总览页完成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5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部署边缘节点 2 和 3（先验证 2 节点聚合）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节点联调通过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6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部署边缘节点 4-6，逐台验证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节点全部上线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7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系统整体联调测试（含 PLC 梯形图）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全链路测试通过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7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故障注入测试：断网、断电、节点宕机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可用性测试通过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8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试运行阶段：现场 30 漏斗连续运行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个月无重大故障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9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正式验收 + 运维交付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验收通过，文档交付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阶段二投入：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硬件：约 24 万（扣除阶段一已采购部分）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软件开发：1.5 人·月（中央聚合层）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现场部署：2 人·月（安装、布线、调试）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风险：多节点时钟同步、网络稳定性、现场 PLC 配合度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6.3  阶段三：AI 升级（9-18 月）</w:t>
      </w:r>
    </w:p>
    <w:p>
      <w:pPr>
        <w:spacing w:after="120"/>
      </w:pPr>
      <w:r>
        <w:rPr>
          <w:rFonts w:ascii="微软雅黑" w:hAnsi="微软雅黑" w:eastAsia="微软雅黑"/>
          <w:b/>
          <w:sz w:val="22"/>
        </w:rPr>
        <w:t>目标：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在方案 B 稳定运行 3 个月后，启动方案 C 的 AI 升级。利用阶段二积累的真实积煤图像训练 YOLO 模型，逐台替换边缘节点为 Jetson AGX Orin。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任务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交付物/验收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10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图像数据收集与标注（5000+ 张）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标注数据集交付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11-12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YOLO v11 模型训练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模型 mAP ≥ 0.90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13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Jetson AGX Orin 环境搭建 + 模型部署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Jetson 边缘节点原型完成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14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现场 1 台 Jetson 节点试运行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个月对比测试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15-17 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逐台替换其余 5 台工控机为 Jetson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个 Jetson 节点全部上线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18 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AI 版验收 + 知识转移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AI 方案正式切换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阶段三投入：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硬件：Jetson AGX Orin × 6 = 约 10.8 万（工控机可回收或复用）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软件：AI 工程师 6 人·月（数据标注 + 训练 + 部署）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服务器：GPU 训练卡 RTX 4070 = 约 0.8 万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风险：标注数据不足、模型泛化性、现场光照变化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第七章  成本预算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7.1  硬件成本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数量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合计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边缘工控机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现有 1 台可复用，实购 5 台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台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i7/32GB/12TB 存储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工业交换机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0.6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边缘 + 1 核心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UPS 电源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套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 + 1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中央机柜 + 边缘集中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 Basler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29 台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0.3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8.7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现有 1 台复用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GigE 线缆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套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200 元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0.6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工业屏蔽线缆，30 米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补光灯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套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500 元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LED 工业补光，含支架</w:t>
            </w:r>
          </w:p>
        </w:tc>
      </w:tr>
      <w:tr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机柜与线缆桥架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—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</w:t>
            </w:r>
          </w:p>
        </w:tc>
        <w:tc>
          <w:tcPr>
            <w:tcW w:type="dxa" w:w="181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标准 42U 机柜 × 2</w:t>
            </w:r>
          </w:p>
        </w:tc>
      </w:tr>
      <w:tr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合计（硬件）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27.3 万</w:t>
            </w:r>
          </w:p>
        </w:tc>
        <w:tc>
          <w:tcPr>
            <w:tcW w:type="dxa" w:w="181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7.2  软件开发成本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工期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合计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中央聚合层开发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人 × 6 周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万/月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前端 Web 开发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人 × 2 周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万/月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0.75 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现场部署与调试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 人 × 4 周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万/月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 万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测试与验收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人 × 2 周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1.5 万/月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0.75 万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文档与培训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人 × 1 周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万/月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0.25 万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合计（软件+服务）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7.75 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7.3  运维成本（三年）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运维项目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频率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单价</w:t>
            </w:r>
          </w:p>
        </w:tc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三年总计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日常巡检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每月 1 次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1000 元/次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3.6 万/3 年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硬件维护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故障更换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预估 5%/年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4.1 万/3 年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软件升级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每年 2 次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万/次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万/3 年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电力消耗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 节点 × 150W × 24h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0.8 元/kWh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2.2 万/3 年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网络与运营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专线 + 云存储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万/3 年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合计（三年）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约 16.9 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7.4  总预算与 ROI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成本项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金额</w:t>
            </w:r>
          </w:p>
        </w:tc>
        <w:tc>
          <w:tcPr>
            <w:tcW w:type="dxa" w:w="39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硬件采购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27.3 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一次性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软件与服务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7.75 万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一次性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运维（3 年）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16.9 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分期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三年总持有成本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51.95 万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单漏斗成本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1.73 万/漏斗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漏斗均摊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/>
          <w:sz w:val="22"/>
        </w:rPr>
        <w:t>ROI（投资回报）估算：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假设每次翻车机卡死处理成本 5 万元（停产+人工+设备损坏），积煤检测系统每减少 1 次误翻即可产生直接收益。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人工目视检测漏报率：15-20%（行业经验）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视觉系统漏报率：&lt; 1%（实测数据）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30 漏斗年翻车次数：30 × 20 次/天 × 365 = 约 22 万次/年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视觉系统减少误翻：22 万 × 10% = 约 2.2 万次/年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直接经济效益：2.2 万 × 5 万/次 × 0.1%（卡死概率） ≈ 110 万/年</w:t>
      </w:r>
    </w:p>
    <w:p>
      <w:pPr>
        <w:pStyle w:val="ListBullet"/>
        <w:ind w:left="425"/>
      </w:pPr>
      <w:r>
        <w:rPr>
          <w:rFonts w:ascii="微软雅黑" w:hAnsi="微软雅黑" w:eastAsia="微软雅黑"/>
          <w:sz w:val="22"/>
        </w:rPr>
        <w:t>投资回收期：≈ 6 个月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第八章  风险评估与应对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8.1  技术风险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概率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425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应对措施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节点间通信延迟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中央聚合可能滞后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异步拉取 + 本地缓存降级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时钟不同步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日志时序混乱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NTP 同步到同一时钟源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连接并发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6 个 PLC 同时访问冲突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每个边缘节点独立管理本地 PLC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 GigE 带宽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台相机分布 6 个网段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每节点 5 相机远低于 GigE 上限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YOLO 模型精度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未训练数据可能精度低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初期保留传统 CV 算法双保险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Windows vs Linux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中央服务器选择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优先 Ubuntu LTS（生产稳定）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8.2  项目风险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概率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425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应对措施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硬件采购周期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影响整体进度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提前 2 个月下单，关键件备货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现场施工延误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布线和补光灯安装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与施工方签订 SLA，分段验收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开发人员不足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中央聚合层延期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预留 20% 进度缓冲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测试覆盖不足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上线后暴露问题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建立完整的故障注入测试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需求变更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比如甲方要求 40 漏斗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架构预留扩展能力，变更按工时计费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8.3  运维风险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风险</w:t>
            </w:r>
          </w:p>
        </w:tc>
        <w:tc>
          <w:tcPr>
            <w:tcW w:type="dxa" w:w="85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概率</w:t>
            </w:r>
          </w:p>
        </w:tc>
        <w:tc>
          <w:tcPr>
            <w:tcW w:type="dxa" w:w="198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影响</w:t>
            </w:r>
          </w:p>
        </w:tc>
        <w:tc>
          <w:tcPr>
            <w:tcW w:type="dxa" w:w="425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应对措施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单节点故障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 漏斗不可用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监控告警 + 15 分钟响应 SLA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中央服务器宕机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监控页失效，边缘不受影响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热备或快照还原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网络中断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节点失联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边缘节点独立运行，故障发生不影响安全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磁盘空间不足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报警图像丢失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自动归档 + 预警阈值 80%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人员变更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低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维护知识流失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完整文档 + 知识库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第九章  验收标准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9.1  功能验收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功能项</w:t>
            </w:r>
          </w:p>
        </w:tc>
        <w:tc>
          <w:tcPr>
            <w:tcW w:type="dxa" w:w="481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验收标准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F-01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漏斗全部检测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所有漏斗在总览页显示状态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F-02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报警触发与展示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有煤时 3 秒内触发报警并显示在总览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F-03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采集窗口记录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每次 PLC 触发记录完整窗口日志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安全连锁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coal_present=True 时 Vision_CanTip=False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F-05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心跳机制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端 Vision_Alive 持续为 True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F-06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故障告警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相机/PLC 离线能触发故障告警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F-07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历史查询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可查询 30 天内任意时段告警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F-08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远程管理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通过 Web 可启停指定漏斗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F-09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WebSocket 实时流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总览页 3 秒内更新状态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F-10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鉴权系统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管理操作需要 admin token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9.2  性能验收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性能项</w:t>
            </w:r>
          </w:p>
        </w:tc>
        <w:tc>
          <w:tcPr>
            <w:tcW w:type="dxa" w:w="481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验收标准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P-01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单帧检测延迟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80ms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P-02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端到端延迟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150ms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P-03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跳帧率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10%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心跳稳定性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500ms ± 50ms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P-05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检测误报率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1%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P-06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检测漏报率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0.5%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P-07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CPU 使用率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60%（5 漏斗满负载）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P-08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中央服务器 CPU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30%（30 漏斗聚合）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P-09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网络带宽利用率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70%（单 GigE）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P-10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内存稳定性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连续 7 天无泄漏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9.3  可靠性验收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编号</w:t>
            </w:r>
          </w:p>
        </w:tc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可靠性项</w:t>
            </w:r>
          </w:p>
        </w:tc>
        <w:tc>
          <w:tcPr>
            <w:tcW w:type="dxa" w:w="481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验收标准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R-01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连续运行时长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≥ 500 小时无崩溃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R-02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单节点故障隔离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1 节点故障不影响其他节点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R-03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自动重启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进程崩溃后看门狗 10 秒内拉起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R-04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故障自愈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相机掉线自动重连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R-05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断网恢复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恢复后心跳自动重建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R-06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数据持久化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断电重启后已归档数据不丢失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R-07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告警不漏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30 天无未送达告警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R-08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系统可用率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≥ 99.5%（月度）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R-09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MTBF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≥ 500 小时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R-10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MTTR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≤ 15 分钟（有人值守时）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 A  PLC 标签清单（每台翻车机，6 台共用）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每台 PLC 承载 1 台翻车机 × 5 漏斗。标签命名规范：下划线区分字段，漏斗编号后缀。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A.1  全局标签（每 PLC 共用）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标签名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方向</w:t>
            </w:r>
          </w:p>
        </w:tc>
        <w:tc>
          <w:tcPr>
            <w:tcW w:type="dxa" w:w="3685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IPC_Heartbeat_1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DINT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→ PLC 心跳（500ms 递增）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IPC_Online_1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边缘节点在线状态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HB_Last_1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DINT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记录上次心跳值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HB_Timer_1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TIMER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心跳超时计时器（2 秒）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Vision_Alive_1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 侧综合判定视觉系统存活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A.2  每漏斗标签（5 漏斗各 1 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标签名（X=1-5）</w:t>
            </w:r>
          </w:p>
        </w:tc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1134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方向</w:t>
            </w:r>
          </w:p>
        </w:tc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Vision_CanTip_1_X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漏斗 X 可翻转（X=1-5）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Vision_FaultCode_1_X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DINT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故障码（0=正常 / 1-4）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Vision_ResultValid_1_X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结果可信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Vision_Enable_1_X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视觉采集启用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Vision_CaptureState_1_X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DINT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W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采集状态（0 闲 /1 采集 / 2 完成）</w:t>
            </w:r>
          </w:p>
        </w:tc>
      </w:tr>
      <w:tr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PLC_CaptureCmd_1_X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DINT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</w:t>
            </w:r>
          </w:p>
        </w:tc>
        <w:tc>
          <w:tcPr>
            <w:tcW w:type="dxa" w:w="2268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采集指令（0 停 / 1 启）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Tipper_InPosition_1_X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BOOL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R</w:t>
            </w:r>
          </w:p>
        </w:tc>
        <w:tc>
          <w:tcPr>
            <w:tcW w:type="dxa" w:w="2268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翻车机回位信号</w:t>
            </w:r>
          </w:p>
        </w:tc>
      </w:tr>
    </w:tbl>
    <w:p>
      <w:pPr>
        <w:spacing w:after="120"/>
        <w:ind w:firstLine="420"/>
      </w:pPr>
      <w:r>
        <w:rPr>
          <w:rFonts w:ascii="微软雅黑" w:hAnsi="微软雅黑" w:eastAsia="微软雅黑"/>
          <w:b/>
          <w:sz w:val="22"/>
        </w:rPr>
        <w:t>每台 PLC 合计标签数 = 5（全局） + 5 漏斗 × 7（每漏斗） = 40 个标签。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 B  网络配置建议</w:t>
      </w:r>
    </w:p>
    <w:p>
      <w:pPr>
        <w:pStyle w:val="Heading2"/>
      </w:pPr>
      <w:r>
        <w:rPr>
          <w:rFonts w:ascii="微软雅黑" w:hAnsi="微软雅黑" w:eastAsia="微软雅黑"/>
          <w:color w:val="2E75B6"/>
        </w:rPr>
        <w:t>B.1  交换机配置清单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配置项</w:t>
            </w:r>
          </w:p>
        </w:tc>
        <w:tc>
          <w:tcPr>
            <w:tcW w:type="dxa" w:w="6520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建议值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VLAN 划分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管理 VLAN 10 + 采集 VLAN 101-106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MTU 设置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 VLAN 启用 Jumbo Frame（9000 字节）以减少相机帧分包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QoS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相机流量标记为 EF（加急转发）优先级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广播风暴抑制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 VLAN 限制广播包 &lt; 5%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端口聚合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核心交换机到边缘交换机 4 口 LAG 聚合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STP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生成树协议启用，防止环路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SNMP 监控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所有交换机开启 SNMP v3，监控端口流量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日志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Syslog 推送到中央服务器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2E75B6"/>
        </w:rPr>
        <w:t>B.2  防火墙策略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402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流向</w:t>
            </w:r>
          </w:p>
        </w:tc>
        <w:tc>
          <w:tcPr>
            <w:tcW w:type="dxa" w:w="5669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策略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采集 VLAN → 管理 VLAN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只允许 TCP 8080（HTTP API）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管理 VLAN → 采集 VLAN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阻断（采集网隔离）</w:t>
            </w:r>
          </w:p>
        </w:tc>
      </w:tr>
      <w:tr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外网 → 管理 VLAN</w:t>
            </w:r>
          </w:p>
        </w:tc>
        <w:tc>
          <w:tcPr>
            <w:tcW w:type="dxa" w:w="4536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只允许 VPN</w:t>
            </w:r>
          </w:p>
        </w:tc>
      </w:tr>
      <w:tr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内网 SSH/RDP</w:t>
            </w:r>
          </w:p>
        </w:tc>
        <w:tc>
          <w:tcPr>
            <w:tcW w:type="dxa" w:w="4536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白名单 IP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附录 C  运维手册大纲</w:t>
      </w:r>
    </w:p>
    <w:p>
      <w:pPr>
        <w:spacing w:after="120"/>
        <w:ind w:firstLine="420"/>
      </w:pPr>
      <w:r>
        <w:rPr>
          <w:rFonts w:ascii="微软雅黑" w:hAnsi="微软雅黑" w:eastAsia="微软雅黑"/>
          <w:b w:val="0"/>
          <w:sz w:val="22"/>
        </w:rPr>
        <w:t>运维手册是系统交付的重要组成部分，本节给出详细大纲，正式文档将在阶段二末期交付。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章节</w:t>
            </w:r>
          </w:p>
        </w:tc>
        <w:tc>
          <w:tcPr>
            <w:tcW w:type="dxa" w:w="2268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标题</w:t>
            </w:r>
          </w:p>
        </w:tc>
        <w:tc>
          <w:tcPr>
            <w:tcW w:type="dxa" w:w="5386"/>
            <w:vAlign w:val="center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内容概述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 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系统架构概述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边缘节点 + 中央服务器的基本工作原理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2 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日常巡检清单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每日、每周、每月巡检项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3 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监控指标与告警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关键指标阈值、告警级别、响应动作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4 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常见故障处理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相机掉线、PLC 断连、边缘节点宕机等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5 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配置变更流程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增删漏斗、修改阈值、人员权限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6 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数据备份恢复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报警图像、配置文件、历史数据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7 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系统升级指南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升级检查清单、回滚流程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8 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安全管理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账号权限、审计日志、密码轮换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9 章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应急预案</w:t>
            </w:r>
          </w:p>
        </w:tc>
        <w:tc>
          <w:tcPr>
            <w:tcW w:type="dxa" w:w="3024"/>
            <w:vAlign w:val="cente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断电、断网、关键节点故障</w:t>
            </w:r>
          </w:p>
        </w:tc>
      </w:tr>
      <w:tr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第 10 章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联系方式</w:t>
            </w:r>
          </w:p>
        </w:tc>
        <w:tc>
          <w:tcPr>
            <w:tcW w:type="dxa" w:w="3024"/>
            <w:vAlign w:val="center"/>
            <w:shd w:fill="F2F2F2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1"/>
              </w:rPr>
              <w:t>技术支持、应急电话、升级窗口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</w:rPr>
        <w:t>文档审批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3024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姓名</w:t>
            </w:r>
          </w:p>
        </w:tc>
        <w:tc>
          <w:tcPr>
            <w:tcW w:type="dxa" w:w="3024"/>
            <w:shd w:fill="2E75B6" w:val="clear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签字/日期</w:t>
            </w:r>
          </w:p>
        </w:tc>
      </w:tr>
      <w:tr>
        <w:tc>
          <w:tcPr>
            <w:tcW w:type="dxa" w:w="30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项目负责人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</w:tr>
      <w:tr>
        <w:tc>
          <w:tcPr>
            <w:tcW w:type="dxa" w:w="30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技术负责人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</w:tr>
      <w:tr>
        <w:tc>
          <w:tcPr>
            <w:tcW w:type="dxa" w:w="30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安全负责人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</w:tr>
      <w:tr>
        <w:tc>
          <w:tcPr>
            <w:tcW w:type="dxa" w:w="3024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/>
            <w:r>
              <w:rPr>
                <w:rFonts w:ascii="微软雅黑" w:hAnsi="微软雅黑" w:eastAsia="微软雅黑"/>
                <w:sz w:val="22"/>
              </w:rPr>
              <w:t>甲方代表</w:t>
            </w:r>
          </w:p>
        </w:tc>
        <w:tc>
          <w:tcPr>
            <w:tcW w:type="dxa" w:w="2268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  <w:tc>
          <w:tcPr>
            <w:tcW w:type="dxa" w:w="3402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/>
        </w:tc>
      </w:tr>
    </w:tbl>
    <w:p/>
    <w:p/>
    <w:p/>
    <w:p/>
    <w:p>
      <w:pPr>
        <w:jc w:val="center"/>
      </w:pPr>
      <w:r>
        <w:rPr>
          <w:rFonts w:ascii="微软雅黑" w:hAnsi="微软雅黑" w:eastAsia="微软雅黑"/>
          <w:i/>
          <w:color w:val="666666"/>
          <w:sz w:val="24"/>
        </w:rPr>
        <w:t>—— 文档结束 ——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