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Aqui estão as orações separadas para o Santo Terço: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**Creio em Deus** (Credo):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Creio em Deus Pai Todo-Poderoso, Criador do céu e da terra.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em Jesus Cristo, seu único Filho, nosso Senhor.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 foi concebido pelo poder do Espírito Santo, nasceu da Virgem Maria,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padeceu sob Pôncio Pilatos, foi crucificado, morto e sepultado. 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Desceu à mansão dos mortos; ressuscitou ao terceiro dia.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Subiu aos céus; está sentado à direita de Deus Pai Todo-Poderoso,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donde há de vir a julgar os vivos e os mortos.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Creio no Espírito Santo; na Santa Igreja Católica,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comunhão dos santos; na remissão dos pecados,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ressurreição da carne; na vida eterna. Amém.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**Pai Nosso:**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 nosso, que estais no céu, santificado seja o Vosso nome;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venha a nós o Vosso reino; 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seja feita a Vossa vontade, assim na terra como no céu.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pão nosso de cada dia nos dai hoje;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perdoai-nos as nossas ofensas, assim como nós perdoamos a quem nos tem ofendido;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não nos deixeis cair em tentação, mas livrai-nos do mal. Amém.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**Ave Maria:**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 Maria, cheia de graça, o Senhor é convosco. 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Bendita sois vós entre as mulheres, 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 bendito é o fruto do vosso ventre, Jesus.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Santa Maria, Mãe de Deus,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rogai por nós, pecadores, 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agora e na hora da nossa morte. Amém.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**Glória ao Pai:**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Glória ao Pai, ao Filho e ao Espírito Santo, 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era no princípio, agora e sempre. Amém.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Essas são as orações tradicionais usadas no Santo Terço.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