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b/>
          <w:bCs/>
          <w:sz w:val="24"/>
          <w:szCs w:val="24"/>
        </w:rPr>
        <w:t xml:space="preserve">Proyecto Integrador: Aplicación de la Psicología en Problemas de Ingeniería, Específicamente en Tecnología</w:t>
      </w:r>
    </w:p>
    <w:p>
      <w:pPr>
        <w:spacing w:line="480" w:lineRule="auto"/>
      </w:pPr>
    </w:p>
    <w:p>
      <w:pPr>
        <w:jc w:val="center"/>
      </w:pPr>
      <w:r>
        <w:drawing>
          <wp:inline distT="0" distB="0" distL="0" distR="0">
            <wp:extent cx="209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1009650"/>
                    </a:xfrm>
                    <a:prstGeom prst="rect">
                      <a:avLst/>
                    </a:prstGeom>
                  </pic:spPr>
                </pic:pic>
              </a:graphicData>
            </a:graphic>
          </wp:inline>
        </w:drawing>
      </w:r>
    </w:p>
    <w:p>
      <w:pPr>
        <w:spacing w:line="480" w:lineRule="auto"/>
      </w:pPr>
    </w:p>
    <w:p>
      <w:pPr>
        <w:spacing w:line="480" w:lineRule="auto"/>
        <w:jc w:val="center"/>
      </w:pPr>
      <w:r>
        <w:rPr>
          <w:rFonts w:ascii="Times New Roman" w:cs="Times New Roman" w:eastAsia="Times New Roman" w:hAnsi="Times New Roman"/>
          <w:b w:val="false"/>
          <w:bCs w:val="false"/>
          <w:i w:val="false"/>
          <w:iCs w:val="false"/>
          <w:sz w:val="24"/>
          <w:szCs w:val="24"/>
        </w:rPr>
        <w:t xml:space="preserve">Leonel Fernando Ortega Tapia</w:t>
      </w:r>
    </w:p>
    <w:p>
      <w:pPr>
        <w:spacing w:line="480" w:lineRule="auto"/>
        <w:jc w:val="center"/>
      </w:pPr>
      <w:r>
        <w:rPr>
          <w:rFonts w:ascii="Times New Roman" w:cs="Times New Roman" w:eastAsia="Times New Roman" w:hAnsi="Times New Roman"/>
          <w:b w:val="false"/>
          <w:bCs w:val="false"/>
          <w:i w:val="false"/>
          <w:iCs w:val="false"/>
          <w:sz w:val="24"/>
          <w:szCs w:val="24"/>
        </w:rPr>
        <w:t xml:space="preserve">Facultad de Ingeniería en Software, Universidad Internacional del Ecuador</w:t>
      </w:r>
    </w:p>
    <w:p>
      <w:pPr>
        <w:spacing w:line="480" w:lineRule="auto"/>
        <w:jc w:val="center"/>
      </w:pPr>
      <w:r>
        <w:rPr>
          <w:rFonts w:ascii="Times New Roman" w:cs="Times New Roman" w:eastAsia="Times New Roman" w:hAnsi="Times New Roman"/>
          <w:b w:val="false"/>
          <w:bCs w:val="false"/>
          <w:i w:val="false"/>
          <w:iCs w:val="false"/>
          <w:sz w:val="24"/>
          <w:szCs w:val="24"/>
        </w:rPr>
        <w:t xml:space="preserve">61993: Ingeniería y Pensamiento Humano</w:t>
      </w:r>
    </w:p>
    <w:p>
      <w:pPr>
        <w:spacing w:line="480" w:lineRule="auto"/>
        <w:jc w:val="center"/>
      </w:pPr>
      <w:r>
        <w:rPr>
          <w:rFonts w:ascii="Times New Roman" w:cs="Times New Roman" w:eastAsia="Times New Roman" w:hAnsi="Times New Roman"/>
          <w:b w:val="false"/>
          <w:bCs w:val="false"/>
          <w:i w:val="false"/>
          <w:iCs w:val="false"/>
          <w:sz w:val="24"/>
          <w:szCs w:val="24"/>
        </w:rPr>
        <w:t xml:space="preserve">Ing. Mgtr. Mónica Salazar</w:t>
      </w:r>
    </w:p>
    <w:p>
      <w:pPr>
        <w:spacing w:line="480" w:lineRule="auto"/>
        <w:jc w:val="center"/>
      </w:pPr>
      <w:r>
        <w:rPr>
          <w:rFonts w:ascii="Times New Roman" w:cs="Times New Roman" w:eastAsia="Times New Roman" w:hAnsi="Times New Roman"/>
          <w:b w:val="false"/>
          <w:bCs w:val="false"/>
          <w:i w:val="false"/>
          <w:iCs w:val="false"/>
          <w:sz w:val="24"/>
          <w:szCs w:val="24"/>
        </w:rPr>
        <w:t xml:space="preserve">23/08/2026</w:t>
      </w:r>
    </w:p>
    <w:p>
      <w:r>
        <w:br w:type="page"/>
      </w:r>
    </w:p>
    <w:p>
      <w:pPr>
        <w:spacing w:line="480" w:lineRule="auto"/>
        <w:jc w:val="center"/>
      </w:pPr>
      <w:r>
        <w:rPr>
          <w:rFonts w:ascii="Times New Roman" w:cs="Times New Roman" w:eastAsia="Times New Roman" w:hAnsi="Times New Roman"/>
          <w:b/>
          <w:bCs/>
          <w:sz w:val="24"/>
          <w:szCs w:val="24"/>
        </w:rPr>
        <w:t xml:space="preserve">Informe General: Psicología y Neurociencia en la Ingeniería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La primera actividad autónoma del curso partió de una pregunta simple: ¿por qué un ingeniero de software necesita saber psicología? La respuesta está en que cualquier sistema que se construye termina siendo usado por una persona, y esa persona percibe, decide y comete errores de acuerdo con cómo funciona su mente, no de acuerdo con cómo funciona el código. Ahí se investigó qué es la psicología —el estudio científico del comportamiento y los procesos mentales— y cómo se relaciona con la neurociencia, que explica esos mismos procesos desde la actividad de las neuronas, el soma, las dendritas y el axón que transmite señales a través de la sinapsis (iNeurociencias, 2018).</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De ese primer acercamiento se rescataron tres aplicaciones concretas para la ingeniería: la ergonomía cognitiva, que reduce la carga mental que le exige una interfaz al usuario (Vinser, 2025; La Divina Proporción, 2024); los sesgos cognitivos descritos por Tversky y Kahneman (1983), que explican por qué un checklist bien diseñado previene errores humanos en sistemas críticos como la aviación; y la ergonomía de Wickens (1984), que muestra que el diseño de un panel de control basado en cómo percibimos realmente mejora la seguridad de quien lo opera. La conclusión de esa primera actividad fue que buena parte de los errores de diseño no son errores técnicos, sino errores de no pensar en el usuario como una persona con límites perceptivos y cognitivos. Esa idea es, en el fondo, el hilo conductor de todo este proyecto integrador.</w:t>
      </w:r>
    </w:p>
    <w:p>
      <w:pPr>
        <w:spacing w:line="480" w:lineRule="auto"/>
        <w:jc w:val="center"/>
      </w:pPr>
      <w:r>
        <w:rPr>
          <w:rFonts w:ascii="Times New Roman" w:cs="Times New Roman" w:eastAsia="Times New Roman" w:hAnsi="Times New Roman"/>
          <w:b/>
          <w:bCs/>
          <w:sz w:val="24"/>
          <w:szCs w:val="24"/>
        </w:rPr>
        <w:t xml:space="preserve">Informe General: Percepción, Motivación y Diseño de Interfaces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La segunda actividad autónoma llevó esa idea a la práctica, diseñando dos productos concretos. Para el primero, Calma, una aplicación de meditación, se aplicaron los principios de sensación y percepción: la ley de Weber para decidir cuánto debía contrastar un color de acento (Calvo, 2023), los principios de Gestalt de proximidad y similitud para agrupar la información en tarjetas (Torresburriel Estudio, s.f.), la ley de Hick para limitar la barra de navegación a cuatro opciones, y la ley de Fitts para que el botón principal fuera grande y estuviera al alcance del pulgar (Segura Crespo, 2022). Al probar el prototipo con tres usuarios en una prueba tipo think-aloud, el único problema real fue un ícono de "Explorar" que dos personas confundieron con una lupa de búsqueda; se resolvió dejando visible la etiqueta de texto junto al ícono, porque reconocer algo es más confiable que recordar qué significa un símbolo abstracto. Esa fue, sin exagerar, la lección más útil de toda la actividad: ninguna interfaz debería darse por terminada sin que alguien más, que no sea quien la diseñó, la use primero.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El segundo caso, Duolingo, sirvió para entender la motivación y la memoria. La curva del olvido de Ebbinghaus muestra que hasta el 50% de información nueva se pierde en la primera hora sin repasar (Escritos de Psicología, 2025), y la teoría de la autodeterminación de Deci y Ryan explica que la motivación real depende de sentir autonomía, competencia y relación con otros (Guerri, 2024). A partir de ahí se diseñó MemoLoop, un producto que generaliza el sistema de rachas de Duolingo a cualquier habilidad y que ordena los repasos según la curva del olvido en vez de dejarlos a criterio del usuario.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Estos dos casos —percepción por un lado, motivación y memoria por otro— son las piezas que se combinan en el producto nuevo de este proyecto integrador, esta vez pensado no para un usuario genérico sino para un grupo cultural específico.</w:t>
      </w:r>
    </w:p>
    <w:p>
      <w:pPr>
        <w:spacing w:line="480" w:lineRule="auto"/>
        <w:jc w:val="center"/>
      </w:pPr>
      <w:r>
        <w:rPr>
          <w:rFonts w:ascii="Times New Roman" w:cs="Times New Roman" w:eastAsia="Times New Roman" w:hAnsi="Times New Roman"/>
          <w:b/>
          <w:bCs/>
          <w:sz w:val="24"/>
          <w:szCs w:val="24"/>
        </w:rPr>
        <w:t xml:space="preserve">Investigación de Factores Culturales en el Diseño de Software</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Un factor cultural es cualquier valor, creencia o práctica compartida por un grupo de personas que cambia cómo interpretan y usan un producto: el idioma que hablan, los símbolos que reconocen, cómo se relacionan con su familia, o incluso cuánto confían en la tecnología. Estos factores no son un detalle estético, son parte del diseño. Un caso real es el de las aplicaciones para revitalizar lenguas indígenas: en talleres de código abierto como el hackathon FOSSASIA de 2019 se desarrollaron aplicaciones como Thazin, pensada para hablantes del idioma arakanés, además de un corpus colaborativo de traducciones (UNESCO, 2019). Ese tipo de proyectos funciona porque parte de cómo aprende y se comunica realmente ese grupo, no de cómo aprendería un usuario promedio genérico.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Para este proyecto se decidió trabajar con un grupo cultural que además es parte de la propia realidad ecuatoriana: los adultos mayores.</w:t>
      </w:r>
    </w:p>
    <w:p>
      <w:pPr>
        <w:spacing w:line="480" w:lineRule="auto"/>
        <w:jc w:val="center"/>
      </w:pPr>
      <w:r>
        <w:rPr>
          <w:rFonts w:ascii="Times New Roman" w:cs="Times New Roman" w:eastAsia="Times New Roman" w:hAnsi="Times New Roman"/>
          <w:b/>
          <w:bCs/>
          <w:sz w:val="24"/>
          <w:szCs w:val="24"/>
        </w:rPr>
        <w:t xml:space="preserve">Selección y Análisis del Grupo Cultural: Adultos Mayores en Ecuador</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Se eligió a los adultos mayores en Ecuador porque, a diferencia de una empresa o un país lejano, es un grupo con el que cualquier estudiante de esta carrera probablemente ya convive —un abuelo, una tía, un vecino— y porque los datos muestran que es uno de los grupos con más brecha digital del país. Según cifras de 2025, el acceso a internet en los hogares ecuatorianos llegó al 71.3%, pero ese acceso está muy desigual: en hogares con educación superior llega al 88.6%, mientras que en hogares sin educación formal apenas alcanza el 38% (Redacción Primicias, 2026), y esa segunda categoría concentra a buena parte de los adultos mayores del país. A nivel regional, Sunkel y Ullmann (2019), en un estudio de la CEPAL, encontraron que en Ecuador los adultos jóvenes usan internet casi nueve veces más que los adultos mayores, una de las brechas etarias más grandes de América Latina.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Pero el problema no es solo de acceso, también es cultural. El mismo estudio de la CEPAL señala que, entre los adultos mayores que sí usan internet, el miedo a "hacerlo mal" y la desconfianza hacia las transacciones digitales son las razones principales para evitar la banca o las compras en línea (Sunkel y Ullmann, 2019); prefieren usar la tecnología para comunicarse y buscar información, no para resolver trámites. Culturalmente, además, la familia sigue siendo el centro: el Consejo de Igualdad Intergeneracional (s.f.) señala que buena parte de los adultos mayores del país colaboran activamente en el cuidado de sus nietos, y que la soledad y el temor al abandono están entre sus principales preocupaciones. En otras palabras, es un grupo que valora mucho el contacto familiar, que confía más en una llamada que en un mensaje de texto, y que necesita sentirse seguro —no solo protegido— al usar un dispositivo.</w:t>
      </w:r>
    </w:p>
    <w:p>
      <w:pPr>
        <w:spacing w:line="480" w:lineRule="auto"/>
        <w:jc w:val="center"/>
      </w:pPr>
      <w:r>
        <w:rPr>
          <w:rFonts w:ascii="Times New Roman" w:cs="Times New Roman" w:eastAsia="Times New Roman" w:hAnsi="Times New Roman"/>
          <w:b/>
          <w:bCs/>
          <w:sz w:val="24"/>
          <w:szCs w:val="24"/>
        </w:rPr>
        <w:t xml:space="preserve">Diseño del Producto: Cerca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A partir de ese análisis se diseñó Cerca, una aplicación pensada para que un adulto mayor ecuatoriano pueda comunicarse con su familia, recordar sus medicamentos y pedir ayuda sin tener que aprender a navegar menús. El nombre busca transmitir la idea central del producto: que la familia esté cerca aunque no esté en la misma casa.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La pantalla de inicio evita por completo los íconos abstractos. En su lugar usa fotos o iniciales grandes de los familiares (María, la hija; Pedro, el nieto; Luz, la vecina) porque, tal como se comprobó con el ícono de "Explorar" en Calma, reconocer una cara es más confiable que recordar qué representa un símbolo. Cada contacto tiene un botón de llamada con forma de auricular de teléfono clásico en vez de un ícono plano de línea, una decisión respaldada por Chen et al. (2020), quienes encontraron que tanto adultos jóvenes como mayores buscan más rápido con íconos "skeuomórficos" —los que se parecen al objeto real— y que además los adultos mayores los encuentran más agradables que los íconos planos que dominan el diseño actual. Lo mismo aplica al recordatorio de medicinas, representado con un frasco de pastillas real y no con un ícono minimalista de salud.</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El resto del diseño retoma lo aprendido en la actividad anterior: texto grande y alto contraste desde el diseño, sin depender del zoom (GammaUX, 2021); botones grandes y bien separados entre sí, aplicando otra vez la ley de Fitts pero pensada ahora para manos con menos precisión motriz; y un máximo de tres opciones en la barra de navegación inferior, aplicando la ley de Hick de la misma forma en que se aplicó en Calma. Se evitaron además los gestos de deslizar o pellizcar la pantalla, poco intuitivos para quien no creció usando pantallas táctiles. El botón de "Pedir ayuda" se dejó siempre visible y de color rojo, no porque sea la función que más se usa, sino porque responde directamente al miedo a "hacerlo mal" que identificaron Sunkel y Ullmann (2019): saber que ese botón siempre está ahí reduce la ansiedad de usar el resto de la aplicación.</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La motivación también se pensó de forma distinta a como se hizo en MemoLoop. Ahí la racha diaria funcionaba porque el usuario buscaba subir de nivel; aquí, en cambio, se aplicó la teoría de la autodeterminación de Deci y Ryan (Guerri, 2024) evitando cualquier elemento que se sienta como una exigencia. La necesidad de relación se cubre mostrando la foto de la familia como lo primero que se ve al abrir la aplicación; la de autonomía, dejando que el usuario decida cuándo llamar o posponer un recordatorio sin ninguna penalización visible; y la de competencia, con un mensaje simple de cierre de semana como "esta semana llamaste a tu familia 4 veces", sin rachas que se puedan "romper" ni números en rojo, porque para este grupo una racha perdida no motiva, genera la misma ansiedad que ya identificaron Sunkel y Ullmann (2019) frente a la tecnología.</w:t>
      </w:r>
    </w:p>
    <w:p>
      <w:pPr>
        <w:spacing w:line="480" w:lineRule="auto"/>
        <w:jc w:val="center"/>
      </w:pPr>
      <w:r>
        <w:drawing>
          <wp:inline distT="0" distB="0" distL="0" distR="0">
            <wp:extent cx="20574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3724275"/>
                    </a:xfrm>
                    <a:prstGeom prst="rect">
                      <a:avLst/>
                    </a:prstGeom>
                  </pic:spPr>
                </pic:pic>
              </a:graphicData>
            </a:graphic>
          </wp:inline>
        </w:drawing>
      </w:r>
    </w:p>
    <w:p>
      <w:pPr>
        <w:spacing w:line="480" w:lineRule="auto"/>
        <w:jc w:val="center"/>
      </w:pPr>
      <w:r>
        <w:rPr>
          <w:rFonts w:ascii="Times New Roman" w:cs="Times New Roman" w:eastAsia="Times New Roman" w:hAnsi="Times New Roman"/>
          <w:b w:val="false"/>
          <w:bCs w:val="false"/>
          <w:i/>
          <w:iCs/>
          <w:sz w:val="24"/>
          <w:szCs w:val="24"/>
        </w:rPr>
        <w:t xml:space="preserve">Figura 1</w:t>
      </w:r>
      <w:r>
        <w:rPr>
          <w:rFonts w:ascii="Times New Roman" w:cs="Times New Roman" w:eastAsia="Times New Roman" w:hAnsi="Times New Roman"/>
          <w:b w:val="false"/>
          <w:bCs w:val="false"/>
          <w:i w:val="false"/>
          <w:iCs w:val="false"/>
          <w:sz w:val="24"/>
          <w:szCs w:val="24"/>
        </w:rPr>
        <w:t xml:space="preserve">. Pantalla de inicio de la aplicación Cerca.</w:t>
      </w:r>
    </w:p>
    <w:p>
      <w:pPr>
        <w:spacing w:line="480" w:lineRule="auto"/>
        <w:jc w:val="center"/>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Elaboración propia (2026).</w:t>
      </w:r>
    </w:p>
    <w:p>
      <w:pPr>
        <w:spacing w:line="480" w:lineRule="auto"/>
        <w:jc w:val="center"/>
      </w:pPr>
      <w:r>
        <w:rPr>
          <w:rFonts w:ascii="Times New Roman" w:cs="Times New Roman" w:eastAsia="Times New Roman" w:hAnsi="Times New Roman"/>
          <w:b/>
          <w:bCs/>
          <w:sz w:val="24"/>
          <w:szCs w:val="24"/>
        </w:rPr>
        <w:t xml:space="preserve">Evaluación Cultural del Producto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Siguiendo el mismo método que se usó con Calma, se hizo una prueba de usabilidad tipo think-aloud con tres adultos mayores de entre 68 y 79 años, cercanos a la familia y al vecindario, pidiéndoles llamar a un contacto, revisar el recordatorio del día y localizar el botón de ayuda. Los tres completaron sin problema la llamada y el recordatorio, apoyándose en las fotos y el texto grande. El único punto de fricción fue el ícono de "Familia" en la barra inferior, que uno de los usuarios interpretó primero como una opción para agregar contactos nuevos en vez de administrar los existentes; se corrigió cambiando la etiqueta a "Mi familia" para dejar más clara su función. Los tres mencionaron, sin que se les preguntara directamente, que les gustaba ver la foto de sus familiares apenas abrían la aplicación, lo que confirma que el factor cultural más fuerte de este diseño no fue el color ni el tamaño de los botones, sino la certeza visual de que la familia está a un toque de distancia.</w:t>
      </w:r>
    </w:p>
    <w:p>
      <w:pPr>
        <w:spacing w:line="480" w:lineRule="auto"/>
        <w:jc w:val="center"/>
      </w:pPr>
      <w:r>
        <w:rPr>
          <w:rFonts w:ascii="Times New Roman" w:cs="Times New Roman" w:eastAsia="Times New Roman" w:hAnsi="Times New Roman"/>
          <w:b/>
          <w:bCs/>
          <w:sz w:val="24"/>
          <w:szCs w:val="24"/>
        </w:rPr>
        <w:t xml:space="preserve">Reflexión Personal sobre la Asignatura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En términos generales, la asignatura me pareció útil porque no se quedó en la teoría: cada tema tenía una aplicación directa a algo que sí voy a hacer como ingeniero de software, que es diseñar productos que otras personas van a usar. El tema que más me gustó fue el de psicología social, emociones y cultura, sobre todo por cómo terminó conectado con este mismo proyecto: entender cómo la cultura, las emociones y la influencia social cambian el comportamiento de un grupo es exactamente lo que necesité para diseñar Cerca pensando en los adultos mayores, y no en un usuario genérico. Fue el tema donde más sentí que la teoría se volvía una herramienta concreta de diseño, no solo una lista de conceptos para memorizar. En cambio, la parte más biológica —las neuronas, el sistema nervioso y el sistema endocrino— fue la que menos me gustó, porque aunque entiendo que es la base de todo lo demás, se sintió más lejana al trabajo diario de un ingeniero de software: es información que explica el "por qué" desde muy abajo, pero que no se traduce tan directo en una decisión de diseño como sí lo hacen la percepción o la cultura.</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Estos conceptos los aplico a mis competencias profesionales sobre todo en el diseño de interfaces: antes de este curso pensaba en una pantalla en términos de qué tan bien se veía, y ahora pienso primero en si alguien puede usarla sin ayuda. En cuanto a la resolución de problemas dentro de las ciencias de la computación, creo que mi aporte va por ese mismo lado: muchos proyectos fallan no porque el código esté mal, sino porque nadie preguntó cómo piensa, percibe o desconfía la persona que lo va a usar —como pasó con los adultos mayores de este proyecto—, y esa es una pregunta que ahora sé cómo investigar y responder con evidencia, no solo con intuición.</w:t>
      </w:r>
    </w:p>
    <w:p>
      <w:pPr>
        <w:spacing w:line="480" w:lineRule="auto"/>
        <w:jc w:val="center"/>
      </w:pPr>
      <w:r>
        <w:rPr>
          <w:rFonts w:ascii="Times New Roman" w:cs="Times New Roman" w:eastAsia="Times New Roman" w:hAnsi="Times New Roman"/>
          <w:b/>
          <w:bCs/>
          <w:sz w:val="24"/>
          <w:szCs w:val="24"/>
        </w:rPr>
        <w:t xml:space="preserve">Conclusiones Generales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Este proyecto integrador confirma algo que se fue construyendo a lo largo de las actividades autónomas: la psicología no es un curso aparte de la ingeniería de software, es una herramienta de diseño tan concreta como un lenguaje de programación. Calma y MemoLoop mostraron que los principios de percepción, memoria y motivación se pueden aplicar a cualquier usuario; Cerca mostró que esos mismos principios cambian de forma cuando se piensa en un grupo cultural específico, en este caso los adultos mayores de Ecuador. La conclusión más importante, quizás, es que "diseñar para todos" en la práctica casi siempre termina significando diseñar sin pensar en nadie en particular, y que los mejores resultados aparecen cuando se elige un usuario real, con su cultura, sus miedos y su contexto, y se diseña pensando en él.</w:t>
      </w:r>
    </w:p>
    <w:p>
      <w:pPr>
        <w:spacing w:line="480" w:lineRule="auto"/>
        <w:jc w:val="center"/>
      </w:pPr>
      <w:r>
        <w:rPr>
          <w:rFonts w:ascii="Times New Roman" w:cs="Times New Roman" w:eastAsia="Times New Roman" w:hAnsi="Times New Roman"/>
          <w:b/>
          <w:bCs/>
          <w:sz w:val="24"/>
          <w:szCs w:val="24"/>
        </w:rPr>
        <w:t xml:space="preserve">Referencias</w:t>
      </w:r>
    </w:p>
    <w:p>
      <w:pPr>
        <w:spacing w:line="480" w:lineRule="auto"/>
        <w:ind w:left="720" w:hanging="720"/>
        <w:jc w:val="left"/>
      </w:pPr>
      <w:r>
        <w:rPr>
          <w:rFonts w:ascii="Times New Roman" w:cs="Times New Roman" w:eastAsia="Times New Roman" w:hAnsi="Times New Roman"/>
          <w:sz w:val="24"/>
          <w:szCs w:val="24"/>
        </w:rPr>
        <w:t xml:space="preserve">Calvo, I. (2023, 5 de febrero). Umbral diferencial: concepto y métodos de estudio. Mentes Abiertas Psicología. https://mentesabiertaspsicologia.com/blog-psicologia/umbral-diferencial-concepto-y-metodos-de-estudio</w:t>
      </w:r>
    </w:p>
    <w:p>
      <w:pPr>
        <w:spacing w:line="480" w:lineRule="auto"/>
        <w:ind w:left="720" w:hanging="720"/>
        <w:jc w:val="left"/>
      </w:pPr>
      <w:r>
        <w:rPr>
          <w:rFonts w:ascii="Times New Roman" w:cs="Times New Roman" w:eastAsia="Times New Roman" w:hAnsi="Times New Roman"/>
          <w:sz w:val="24"/>
          <w:szCs w:val="24"/>
        </w:rPr>
        <w:t xml:space="preserve">Chen, R., Huang, J., y Zhou, J. (2020). Skeuomorphic or flat icons for an efficient visual search by younger and older adults? Applied Ergonomics, 85, 103073.</w:t>
      </w:r>
    </w:p>
    <w:p>
      <w:pPr>
        <w:spacing w:line="480" w:lineRule="auto"/>
        <w:ind w:left="720" w:hanging="720"/>
        <w:jc w:val="left"/>
      </w:pPr>
      <w:r>
        <w:rPr>
          <w:rFonts w:ascii="Times New Roman" w:cs="Times New Roman" w:eastAsia="Times New Roman" w:hAnsi="Times New Roman"/>
          <w:sz w:val="24"/>
          <w:szCs w:val="24"/>
        </w:rPr>
        <w:t xml:space="preserve">Consejo de Igualdad Intergeneracional. (s.f.). Estado de situación de las personas adultas mayores. https://www.igualdad.gob.ec/estado-de-situacion-de-las-personas-adultas-mayores/</w:t>
      </w:r>
    </w:p>
    <w:p>
      <w:pPr>
        <w:spacing w:line="480" w:lineRule="auto"/>
        <w:ind w:left="720" w:hanging="720"/>
        <w:jc w:val="left"/>
      </w:pPr>
      <w:r>
        <w:rPr>
          <w:rFonts w:ascii="Times New Roman" w:cs="Times New Roman" w:eastAsia="Times New Roman" w:hAnsi="Times New Roman"/>
          <w:sz w:val="24"/>
          <w:szCs w:val="24"/>
        </w:rPr>
        <w:t xml:space="preserve">Escritos de Psicología. (2025, 31 de mayo). La curva del olvido de Ebbinghaus y su impacto en el aprendizaje. https://www.escritosdepsicologia.es/curva-del-olvido-de-ebbinghaus/</w:t>
      </w:r>
    </w:p>
    <w:p>
      <w:pPr>
        <w:spacing w:line="480" w:lineRule="auto"/>
        <w:ind w:left="720" w:hanging="720"/>
        <w:jc w:val="left"/>
      </w:pPr>
      <w:r>
        <w:rPr>
          <w:rFonts w:ascii="Times New Roman" w:cs="Times New Roman" w:eastAsia="Times New Roman" w:hAnsi="Times New Roman"/>
          <w:sz w:val="24"/>
          <w:szCs w:val="24"/>
        </w:rPr>
        <w:t xml:space="preserve">Escuela de Posgrado de Salamanca. (2025). Qué es la neurociencia: definición, ramas y aplicaciones clave. https://posgradosalamanca.lat/blog/que-es-la-neurociencia/</w:t>
      </w:r>
    </w:p>
    <w:p>
      <w:pPr>
        <w:spacing w:line="480" w:lineRule="auto"/>
        <w:ind w:left="720" w:hanging="720"/>
        <w:jc w:val="left"/>
      </w:pPr>
      <w:r>
        <w:rPr>
          <w:rFonts w:ascii="Times New Roman" w:cs="Times New Roman" w:eastAsia="Times New Roman" w:hAnsi="Times New Roman"/>
          <w:sz w:val="24"/>
          <w:szCs w:val="24"/>
        </w:rPr>
        <w:t xml:space="preserve">GammaUX. (2021, 21 de mayo). Cómo diseñar experiencias digitales para personas mayores. https://www.gammaux.com/blog/como-disenar-experiencias-digitales-para-personas-mayores/</w:t>
      </w:r>
    </w:p>
    <w:p>
      <w:pPr>
        <w:spacing w:line="480" w:lineRule="auto"/>
        <w:ind w:left="720" w:hanging="720"/>
        <w:jc w:val="left"/>
      </w:pPr>
      <w:r>
        <w:rPr>
          <w:rFonts w:ascii="Times New Roman" w:cs="Times New Roman" w:eastAsia="Times New Roman" w:hAnsi="Times New Roman"/>
          <w:sz w:val="24"/>
          <w:szCs w:val="24"/>
        </w:rPr>
        <w:t xml:space="preserve">GammaUX. (s.f.). La importancia de la jerarquía en el diseño de interfaces. https://www.gammaux.com/blog/la-importancia-de-la-jerarquia-en-el-diseno-de-interfaces/</w:t>
      </w:r>
    </w:p>
    <w:p>
      <w:pPr>
        <w:spacing w:line="480" w:lineRule="auto"/>
        <w:ind w:left="720" w:hanging="720"/>
        <w:jc w:val="left"/>
      </w:pPr>
      <w:r>
        <w:rPr>
          <w:rFonts w:ascii="Times New Roman" w:cs="Times New Roman" w:eastAsia="Times New Roman" w:hAnsi="Times New Roman"/>
          <w:sz w:val="24"/>
          <w:szCs w:val="24"/>
        </w:rPr>
        <w:t xml:space="preserve">Guerri, M. (2024, 28 de noviembre). La teoría de la autodeterminación de Ryan y Deci. PsicoActiva. https://www.psicoactiva.com/blog/teoria-de-la-autodeterminacion-ryan-deci/</w:t>
      </w:r>
    </w:p>
    <w:p>
      <w:pPr>
        <w:spacing w:line="480" w:lineRule="auto"/>
        <w:ind w:left="720" w:hanging="720"/>
        <w:jc w:val="left"/>
      </w:pPr>
      <w:r>
        <w:rPr>
          <w:rFonts w:ascii="Times New Roman" w:cs="Times New Roman" w:eastAsia="Times New Roman" w:hAnsi="Times New Roman"/>
          <w:sz w:val="24"/>
          <w:szCs w:val="24"/>
        </w:rPr>
        <w:t xml:space="preserve">iNeurociencias. (2018). Neurociencia: Ramas clave y fundamentos. https://ineurociencias.org/neurociencias-que-son/</w:t>
      </w:r>
    </w:p>
    <w:p>
      <w:pPr>
        <w:spacing w:line="480" w:lineRule="auto"/>
        <w:ind w:left="720" w:hanging="720"/>
        <w:jc w:val="left"/>
      </w:pPr>
      <w:r>
        <w:rPr>
          <w:rFonts w:ascii="Times New Roman" w:cs="Times New Roman" w:eastAsia="Times New Roman" w:hAnsi="Times New Roman"/>
          <w:sz w:val="24"/>
          <w:szCs w:val="24"/>
        </w:rPr>
        <w:t xml:space="preserve">La Divina Proporción. (2024). La importancia de la psicología cognitiva en la creación de interfaces de usuario efectivas. https://ladivinaproporcion.es/la-importancia-de-la-psicologia-cognitiva-en-la-creacion-de-interfaces-de-usuario-efectivas/</w:t>
      </w:r>
    </w:p>
    <w:p>
      <w:pPr>
        <w:spacing w:line="480" w:lineRule="auto"/>
        <w:ind w:left="720" w:hanging="720"/>
        <w:jc w:val="left"/>
      </w:pPr>
      <w:r>
        <w:rPr>
          <w:rFonts w:ascii="Times New Roman" w:cs="Times New Roman" w:eastAsia="Times New Roman" w:hAnsi="Times New Roman"/>
          <w:sz w:val="24"/>
          <w:szCs w:val="24"/>
        </w:rPr>
        <w:t xml:space="preserve">Mounkoro. (2024). Revolucionando el aprendizaje de idiomas: el impacto transformador de las aplicaciones móviles. Apertura. https://www.scielo.org.mx/scielo.php?script=sci_arttext&amp;pid=S1665-61802024000200022</w:t>
      </w:r>
    </w:p>
    <w:p>
      <w:pPr>
        <w:spacing w:line="480" w:lineRule="auto"/>
        <w:ind w:left="720" w:hanging="720"/>
        <w:jc w:val="left"/>
      </w:pPr>
      <w:r>
        <w:rPr>
          <w:rFonts w:ascii="Times New Roman" w:cs="Times New Roman" w:eastAsia="Times New Roman" w:hAnsi="Times New Roman"/>
          <w:sz w:val="24"/>
          <w:szCs w:val="24"/>
        </w:rPr>
        <w:t xml:space="preserve">Redacción Primicias. (2026, 9 de enero). Acceso a Internet en Ecuador llega al 71,3 %, pero uso productivo es mínimo, según informe. Primicias. https://www.primicias.ec/sociedad/ecuador-acceso-internet-brecha-digital-usos-informe-politecnica-113472/</w:t>
      </w:r>
    </w:p>
    <w:p>
      <w:pPr>
        <w:spacing w:line="480" w:lineRule="auto"/>
        <w:ind w:left="720" w:hanging="720"/>
        <w:jc w:val="left"/>
      </w:pPr>
      <w:r>
        <w:rPr>
          <w:rFonts w:ascii="Times New Roman" w:cs="Times New Roman" w:eastAsia="Times New Roman" w:hAnsi="Times New Roman"/>
          <w:sz w:val="24"/>
          <w:szCs w:val="24"/>
        </w:rPr>
        <w:t xml:space="preserve">Segura Crespo, J. F. (2022, 31 de octubre). Principios de diseño UX: la ley de Hick y ley de Fitts. INESEM Revista Digital. https://www.inesem.es/revistadigital/diseno-y-artes-graficas/principios-de-diseno-ux-la-ley-de-hick-y-ley-de-fitts</w:t>
      </w:r>
    </w:p>
    <w:p>
      <w:pPr>
        <w:spacing w:line="480" w:lineRule="auto"/>
        <w:ind w:left="720" w:hanging="720"/>
        <w:jc w:val="left"/>
      </w:pPr>
      <w:r>
        <w:rPr>
          <w:rFonts w:ascii="Times New Roman" w:cs="Times New Roman" w:eastAsia="Times New Roman" w:hAnsi="Times New Roman"/>
          <w:sz w:val="24"/>
          <w:szCs w:val="24"/>
        </w:rPr>
        <w:t xml:space="preserve">Sunkel, G., y Ullmann, H. (2019). Las personas mayores de América Latina en la era digital: superación de la brecha digital. Revista de la CEPAL, 127.</w:t>
      </w:r>
    </w:p>
    <w:p>
      <w:pPr>
        <w:spacing w:line="480" w:lineRule="auto"/>
        <w:ind w:left="720" w:hanging="720"/>
        <w:jc w:val="left"/>
      </w:pPr>
      <w:r>
        <w:rPr>
          <w:rFonts w:ascii="Times New Roman" w:cs="Times New Roman" w:eastAsia="Times New Roman" w:hAnsi="Times New Roman"/>
          <w:sz w:val="24"/>
          <w:szCs w:val="24"/>
        </w:rPr>
        <w:t xml:space="preserve">Torresburriel Estudio. (s.f.). Principios Gestalt para diseño de interfaces. https://torresburriel.com/weblog/principios-gestalt-diseno-interfaces/</w:t>
      </w:r>
    </w:p>
    <w:p>
      <w:pPr>
        <w:spacing w:line="480" w:lineRule="auto"/>
        <w:ind w:left="720" w:hanging="720"/>
        <w:jc w:val="left"/>
      </w:pPr>
      <w:r>
        <w:rPr>
          <w:rFonts w:ascii="Times New Roman" w:cs="Times New Roman" w:eastAsia="Times New Roman" w:hAnsi="Times New Roman"/>
          <w:sz w:val="24"/>
          <w:szCs w:val="24"/>
        </w:rPr>
        <w:t xml:space="preserve">Tversky, A., y Kahneman, D. (1983). Extensional versus intuitive reasoning: The conjunction fallacy in probability judgment. Psychological Review, 90(4), 293–315.</w:t>
      </w:r>
    </w:p>
    <w:p>
      <w:pPr>
        <w:spacing w:line="480" w:lineRule="auto"/>
        <w:ind w:left="720" w:hanging="720"/>
        <w:jc w:val="left"/>
      </w:pPr>
      <w:r>
        <w:rPr>
          <w:rFonts w:ascii="Times New Roman" w:cs="Times New Roman" w:eastAsia="Times New Roman" w:hAnsi="Times New Roman"/>
          <w:sz w:val="24"/>
          <w:szCs w:val="24"/>
        </w:rPr>
        <w:t xml:space="preserve">UNESCO. (2019, 7 de junio). Open-source software can revitalize indigenous languages. https://www.unesco.org/en/articles/open-source-software-can-revitalize-indigenous-languages</w:t>
      </w:r>
    </w:p>
    <w:p>
      <w:pPr>
        <w:spacing w:line="480" w:lineRule="auto"/>
        <w:ind w:left="720" w:hanging="720"/>
        <w:jc w:val="left"/>
      </w:pPr>
      <w:r>
        <w:rPr>
          <w:rFonts w:ascii="Times New Roman" w:cs="Times New Roman" w:eastAsia="Times New Roman" w:hAnsi="Times New Roman"/>
          <w:sz w:val="24"/>
          <w:szCs w:val="24"/>
        </w:rPr>
        <w:t xml:space="preserve">Vinser. (2025). Ergonomía cognitiva: rendimiento, bienestar y aplicaciones en el entorno laboral. https://vinser.com.ar/ergonomia/ergonomia-cognitiva</w:t>
      </w:r>
    </w:p>
    <w:p>
      <w:pPr>
        <w:spacing w:line="480" w:lineRule="auto"/>
        <w:ind w:left="720" w:hanging="720"/>
        <w:jc w:val="left"/>
      </w:pPr>
      <w:r>
        <w:rPr>
          <w:rFonts w:ascii="Times New Roman" w:cs="Times New Roman" w:eastAsia="Times New Roman" w:hAnsi="Times New Roman"/>
          <w:sz w:val="24"/>
          <w:szCs w:val="24"/>
        </w:rPr>
        <w:t xml:space="preserve">Wickens, C. D. (1984). Engineering psychology and human performance. Charles E. Merrill.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2fbdeb1db40929f7522506002f180a7a90ee0f.png"/><Relationship Id="rId8" Type="http://schemas.openxmlformats.org/officeDocument/2006/relationships/image" Target="media/92d61cbbd646832b945942bab43993a979b9fa0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2026-08-24T01:55:15.998Z</dcterms:created>
  <dcterms:modified xsi:type="dcterms:W3CDTF">2026-08-24T01:55:15.998Z</dcterms:modified>
</cp:coreProperties>
</file>

<file path=docProps/custom.xml><?xml version="1.0" encoding="utf-8"?>
<Properties xmlns="http://schemas.openxmlformats.org/officeDocument/2006/custom-properties" xmlns:vt="http://schemas.openxmlformats.org/officeDocument/2006/docPropsVTypes"/>
</file>