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AB9F" w14:textId="77777777" w:rsidR="00015262" w:rsidRPr="00A520F7" w:rsidRDefault="00000000">
      <w:pPr>
        <w:pStyle w:val="Heading1"/>
        <w:rPr>
          <w:rFonts w:ascii="Roboto" w:hAnsi="Roboto"/>
          <w:sz w:val="36"/>
          <w:szCs w:val="36"/>
        </w:rPr>
      </w:pPr>
      <w:bookmarkStart w:id="0" w:name="mxtk-website-update"/>
      <w:r w:rsidRPr="00A520F7">
        <w:rPr>
          <w:rFonts w:ascii="Roboto" w:hAnsi="Roboto"/>
          <w:sz w:val="36"/>
          <w:szCs w:val="36"/>
        </w:rPr>
        <w:t>MXTK Website Update</w:t>
      </w:r>
    </w:p>
    <w:p w14:paraId="1B09F956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1" w:name="strategy-decisions-and-visual-mockups"/>
      <w:r w:rsidRPr="00A520F7">
        <w:rPr>
          <w:rFonts w:ascii="Roboto" w:hAnsi="Roboto"/>
          <w:sz w:val="28"/>
          <w:szCs w:val="28"/>
        </w:rPr>
        <w:t xml:space="preserve"> Strategy, Decisions, and Visual Mockups</w:t>
      </w:r>
    </w:p>
    <w:p w14:paraId="68AF1468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2" w:name="executive-summary"/>
      <w:bookmarkEnd w:id="1"/>
      <w:r w:rsidRPr="00A520F7">
        <w:rPr>
          <w:rFonts w:ascii="Roboto" w:hAnsi="Roboto"/>
          <w:sz w:val="28"/>
          <w:szCs w:val="28"/>
        </w:rPr>
        <w:t>Executive summary</w:t>
      </w:r>
    </w:p>
    <w:p w14:paraId="1FAED484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I synthesized the current site, your WIP sandbox, our target personas, and best practices from credible token/RWA launches. The new site will:</w:t>
      </w:r>
    </w:p>
    <w:p w14:paraId="111B93AA" w14:textId="77777777" w:rsidR="00015262" w:rsidRPr="00A520F7" w:rsidRDefault="00000000">
      <w:pPr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 xml:space="preserve">Default to </w:t>
      </w:r>
      <w:r w:rsidRPr="00A520F7">
        <w:rPr>
          <w:rFonts w:ascii="Roboto" w:hAnsi="Roboto"/>
          <w:b/>
          <w:bCs/>
          <w:sz w:val="22"/>
          <w:szCs w:val="22"/>
        </w:rPr>
        <w:t>Light theme</w:t>
      </w:r>
      <w:r w:rsidRPr="00A520F7">
        <w:rPr>
          <w:rFonts w:ascii="Roboto" w:hAnsi="Roboto"/>
          <w:sz w:val="22"/>
          <w:szCs w:val="22"/>
        </w:rPr>
        <w:t xml:space="preserve"> (institutional‑friendly) with a </w:t>
      </w:r>
      <w:r w:rsidRPr="00A520F7">
        <w:rPr>
          <w:rFonts w:ascii="Roboto" w:hAnsi="Roboto"/>
          <w:b/>
          <w:bCs/>
          <w:sz w:val="22"/>
          <w:szCs w:val="22"/>
        </w:rPr>
        <w:t>Dark toggle</w:t>
      </w:r>
      <w:r w:rsidRPr="00A520F7">
        <w:rPr>
          <w:rFonts w:ascii="Roboto" w:hAnsi="Roboto"/>
          <w:sz w:val="22"/>
          <w:szCs w:val="22"/>
        </w:rPr>
        <w:t xml:space="preserve"> for crypto‑native users.</w:t>
      </w:r>
    </w:p>
    <w:p w14:paraId="69FC8DB6" w14:textId="77777777" w:rsidR="00015262" w:rsidRPr="00A520F7" w:rsidRDefault="00000000">
      <w:pPr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 xml:space="preserve">Put a </w:t>
      </w:r>
      <w:r w:rsidRPr="00A520F7">
        <w:rPr>
          <w:rFonts w:ascii="Roboto" w:hAnsi="Roboto"/>
          <w:b/>
          <w:bCs/>
          <w:sz w:val="22"/>
          <w:szCs w:val="22"/>
        </w:rPr>
        <w:t>Trust &amp; Transparency hub</w:t>
      </w:r>
      <w:r w:rsidRPr="00A520F7">
        <w:rPr>
          <w:rFonts w:ascii="Roboto" w:hAnsi="Roboto"/>
          <w:sz w:val="22"/>
          <w:szCs w:val="22"/>
        </w:rPr>
        <w:t xml:space="preserve"> front and center with proofs on IPFS, an oracle methodology &amp; change log, on‑chain addresses (token, pools, lockers, multisig), and risk factors in plain English.</w:t>
      </w:r>
    </w:p>
    <w:p w14:paraId="18D57EB9" w14:textId="77777777" w:rsidR="00015262" w:rsidRPr="00A520F7" w:rsidRDefault="00000000">
      <w:pPr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 xml:space="preserve">Serve key audiences with dedicated pages: </w:t>
      </w:r>
      <w:r w:rsidRPr="00A520F7">
        <w:rPr>
          <w:rFonts w:ascii="Roboto" w:hAnsi="Roboto"/>
          <w:b/>
          <w:bCs/>
          <w:sz w:val="22"/>
          <w:szCs w:val="22"/>
        </w:rPr>
        <w:t>Owners</w:t>
      </w:r>
      <w:r w:rsidRPr="00A520F7">
        <w:rPr>
          <w:rFonts w:ascii="Roboto" w:hAnsi="Roboto"/>
          <w:sz w:val="22"/>
          <w:szCs w:val="22"/>
        </w:rPr>
        <w:t xml:space="preserve">, </w:t>
      </w:r>
      <w:r w:rsidRPr="00A520F7">
        <w:rPr>
          <w:rFonts w:ascii="Roboto" w:hAnsi="Roboto"/>
          <w:b/>
          <w:bCs/>
          <w:sz w:val="22"/>
          <w:szCs w:val="22"/>
        </w:rPr>
        <w:t>Institutions</w:t>
      </w:r>
      <w:r w:rsidRPr="00A520F7">
        <w:rPr>
          <w:rFonts w:ascii="Roboto" w:hAnsi="Roboto"/>
          <w:sz w:val="22"/>
          <w:szCs w:val="22"/>
        </w:rPr>
        <w:t xml:space="preserve">, </w:t>
      </w:r>
      <w:r w:rsidRPr="00A520F7">
        <w:rPr>
          <w:rFonts w:ascii="Roboto" w:hAnsi="Roboto"/>
          <w:b/>
          <w:bCs/>
          <w:sz w:val="22"/>
          <w:szCs w:val="22"/>
        </w:rPr>
        <w:t>MXTK Gives</w:t>
      </w:r>
      <w:r w:rsidRPr="00A520F7">
        <w:rPr>
          <w:rFonts w:ascii="Roboto" w:hAnsi="Roboto"/>
          <w:sz w:val="22"/>
          <w:szCs w:val="22"/>
        </w:rPr>
        <w:t xml:space="preserve">, </w:t>
      </w:r>
      <w:r w:rsidRPr="00A520F7">
        <w:rPr>
          <w:rFonts w:ascii="Roboto" w:hAnsi="Roboto"/>
          <w:b/>
          <w:bCs/>
          <w:sz w:val="22"/>
          <w:szCs w:val="22"/>
        </w:rPr>
        <w:t>Media</w:t>
      </w:r>
      <w:r w:rsidRPr="00A520F7">
        <w:rPr>
          <w:rFonts w:ascii="Roboto" w:hAnsi="Roboto"/>
          <w:sz w:val="22"/>
          <w:szCs w:val="22"/>
        </w:rPr>
        <w:t xml:space="preserve">, and </w:t>
      </w:r>
      <w:r w:rsidRPr="00A520F7">
        <w:rPr>
          <w:rFonts w:ascii="Roboto" w:hAnsi="Roboto"/>
          <w:b/>
          <w:bCs/>
          <w:sz w:val="22"/>
          <w:szCs w:val="22"/>
        </w:rPr>
        <w:t>Legal</w:t>
      </w:r>
      <w:r w:rsidRPr="00A520F7">
        <w:rPr>
          <w:rFonts w:ascii="Roboto" w:hAnsi="Roboto"/>
          <w:sz w:val="22"/>
          <w:szCs w:val="22"/>
        </w:rPr>
        <w:t>.</w:t>
      </w:r>
    </w:p>
    <w:p w14:paraId="516B3F7F" w14:textId="77777777" w:rsidR="00015262" w:rsidRPr="00A520F7" w:rsidRDefault="00000000">
      <w:pPr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 xml:space="preserve">Use an open‑source, team‑friendly stack: </w:t>
      </w:r>
      <w:r w:rsidRPr="00A520F7">
        <w:rPr>
          <w:rFonts w:ascii="Roboto" w:hAnsi="Roboto"/>
          <w:b/>
          <w:bCs/>
          <w:sz w:val="22"/>
          <w:szCs w:val="22"/>
        </w:rPr>
        <w:t>Next.js 14 + TypeScript + Tailwind</w:t>
      </w:r>
      <w:r w:rsidRPr="00A520F7">
        <w:rPr>
          <w:rFonts w:ascii="Roboto" w:hAnsi="Roboto"/>
          <w:sz w:val="22"/>
          <w:szCs w:val="22"/>
        </w:rPr>
        <w:t xml:space="preserve">, </w:t>
      </w:r>
      <w:r w:rsidRPr="00A520F7">
        <w:rPr>
          <w:rFonts w:ascii="Roboto" w:hAnsi="Roboto"/>
          <w:b/>
          <w:bCs/>
          <w:sz w:val="22"/>
          <w:szCs w:val="22"/>
        </w:rPr>
        <w:t>Directus</w:t>
      </w:r>
      <w:r w:rsidRPr="00A520F7">
        <w:rPr>
          <w:rFonts w:ascii="Roboto" w:hAnsi="Roboto"/>
          <w:sz w:val="22"/>
          <w:szCs w:val="22"/>
        </w:rPr>
        <w:t xml:space="preserve"> for structured content, and </w:t>
      </w:r>
      <w:r w:rsidRPr="00A520F7">
        <w:rPr>
          <w:rFonts w:ascii="Roboto" w:hAnsi="Roboto"/>
          <w:b/>
          <w:bCs/>
          <w:sz w:val="22"/>
          <w:szCs w:val="22"/>
        </w:rPr>
        <w:t>MDX</w:t>
      </w:r>
      <w:r w:rsidRPr="00A520F7">
        <w:rPr>
          <w:rFonts w:ascii="Roboto" w:hAnsi="Roboto"/>
          <w:sz w:val="22"/>
          <w:szCs w:val="22"/>
        </w:rPr>
        <w:t xml:space="preserve"> for long‑form docs (whitepaper/roadmap).</w:t>
      </w:r>
    </w:p>
    <w:p w14:paraId="1A6FBF22" w14:textId="77777777" w:rsidR="00015262" w:rsidRPr="00A520F7" w:rsidRDefault="00000000">
      <w:pPr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 xml:space="preserve">Label anything not yet live as </w:t>
      </w:r>
      <w:r w:rsidRPr="00A520F7">
        <w:rPr>
          <w:rFonts w:ascii="Roboto" w:hAnsi="Roboto"/>
          <w:b/>
          <w:bCs/>
          <w:sz w:val="22"/>
          <w:szCs w:val="22"/>
        </w:rPr>
        <w:t>“Preview data”</w:t>
      </w:r>
      <w:r w:rsidRPr="00A520F7">
        <w:rPr>
          <w:rFonts w:ascii="Roboto" w:hAnsi="Roboto"/>
          <w:sz w:val="22"/>
          <w:szCs w:val="22"/>
        </w:rPr>
        <w:t xml:space="preserve"> and include data‑source tooltips throughout.</w:t>
      </w:r>
    </w:p>
    <w:p w14:paraId="4C044694" w14:textId="77777777" w:rsidR="00015262" w:rsidRPr="00A520F7" w:rsidRDefault="002C4531">
      <w:pPr>
        <w:rPr>
          <w:rFonts w:ascii="Roboto" w:hAnsi="Roboto"/>
          <w:sz w:val="22"/>
          <w:szCs w:val="22"/>
        </w:rPr>
      </w:pPr>
      <w:r w:rsidRPr="002C4531">
        <w:rPr>
          <w:rFonts w:ascii="Roboto" w:hAnsi="Roboto"/>
          <w:noProof/>
          <w:sz w:val="22"/>
          <w:szCs w:val="22"/>
        </w:rPr>
        <w:pict w14:anchorId="11895B68">
          <v:rect id="_x0000_i1028" alt="" style="width:468pt;height:.05pt;mso-width-percent:0;mso-height-percent:0;mso-width-percent:0;mso-height-percent:0" o:hralign="center" o:hrstd="t" o:hr="t"/>
        </w:pict>
      </w:r>
    </w:p>
    <w:p w14:paraId="5B1483B1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3" w:name="X5e5c33df8becc1ac8f4ec50f947cd4463d3822b"/>
      <w:bookmarkEnd w:id="2"/>
      <w:r w:rsidRPr="00A520F7">
        <w:rPr>
          <w:rFonts w:ascii="Roboto" w:hAnsi="Roboto"/>
          <w:sz w:val="28"/>
          <w:szCs w:val="28"/>
        </w:rPr>
        <w:t>Who we’re building for (and how the site helps)</w:t>
      </w:r>
    </w:p>
    <w:p w14:paraId="3D0CF4AB" w14:textId="77777777" w:rsidR="00015262" w:rsidRPr="00A520F7" w:rsidRDefault="00000000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Mineral owners:</w:t>
      </w:r>
      <w:r w:rsidRPr="00A520F7">
        <w:rPr>
          <w:rFonts w:ascii="Roboto" w:hAnsi="Roboto"/>
          <w:sz w:val="22"/>
          <w:szCs w:val="22"/>
        </w:rPr>
        <w:t xml:space="preserve"> Clear intake, accepted standards (JORC/NI 43‑101/SKR), confidentiality and next steps.</w:t>
      </w:r>
    </w:p>
    <w:p w14:paraId="35131605" w14:textId="77777777" w:rsidR="00015262" w:rsidRPr="00A520F7" w:rsidRDefault="00000000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Institutions &amp; banks:</w:t>
      </w:r>
      <w:r w:rsidRPr="00A520F7">
        <w:rPr>
          <w:rFonts w:ascii="Roboto" w:hAnsi="Roboto"/>
          <w:sz w:val="22"/>
          <w:szCs w:val="22"/>
        </w:rPr>
        <w:t xml:space="preserve"> One‑stop diligence view (governance, oracle method, addresses, liquidity plan, OTC rails).</w:t>
      </w:r>
    </w:p>
    <w:p w14:paraId="384085C0" w14:textId="77777777" w:rsidR="00015262" w:rsidRPr="00A520F7" w:rsidRDefault="00000000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Regulators &amp; skeptics:</w:t>
      </w:r>
      <w:r w:rsidRPr="00A520F7">
        <w:rPr>
          <w:rFonts w:ascii="Roboto" w:hAnsi="Roboto"/>
          <w:sz w:val="22"/>
          <w:szCs w:val="22"/>
        </w:rPr>
        <w:t xml:space="preserve"> Traceable claims (IPFS proofs), change logs, and a risk page; conservative wording.</w:t>
      </w:r>
    </w:p>
    <w:p w14:paraId="1E57D89D" w14:textId="77777777" w:rsidR="00015262" w:rsidRPr="00A520F7" w:rsidRDefault="00000000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Nonprofits (MXTK Gives):</w:t>
      </w:r>
      <w:r w:rsidRPr="00A520F7">
        <w:rPr>
          <w:rFonts w:ascii="Roboto" w:hAnsi="Roboto"/>
          <w:sz w:val="22"/>
          <w:szCs w:val="22"/>
        </w:rPr>
        <w:t xml:space="preserve"> Program overview, nomination flow, lock/learning/story‑sharing commitments; Encast partnership.</w:t>
      </w:r>
    </w:p>
    <w:p w14:paraId="2B1DCBEA" w14:textId="77777777" w:rsidR="00015262" w:rsidRPr="00A520F7" w:rsidRDefault="002C4531">
      <w:pPr>
        <w:rPr>
          <w:rFonts w:ascii="Roboto" w:hAnsi="Roboto"/>
          <w:sz w:val="22"/>
          <w:szCs w:val="22"/>
        </w:rPr>
      </w:pPr>
      <w:r w:rsidRPr="002C4531">
        <w:rPr>
          <w:rFonts w:ascii="Roboto" w:hAnsi="Roboto"/>
          <w:noProof/>
          <w:sz w:val="22"/>
          <w:szCs w:val="22"/>
        </w:rPr>
        <w:pict w14:anchorId="3896D505">
          <v:rect id="_x0000_i1027" alt="" style="width:468pt;height:.05pt;mso-width-percent:0;mso-height-percent:0;mso-width-percent:0;mso-height-percent:0" o:hralign="center" o:hrstd="t" o:hr="t"/>
        </w:pict>
      </w:r>
    </w:p>
    <w:p w14:paraId="3124916C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4" w:name="information-architecture-routes"/>
      <w:bookmarkEnd w:id="3"/>
      <w:r w:rsidRPr="00A520F7">
        <w:rPr>
          <w:rFonts w:ascii="Roboto" w:hAnsi="Roboto"/>
          <w:sz w:val="28"/>
          <w:szCs w:val="28"/>
        </w:rPr>
        <w:t>Information architecture (routes)</w:t>
      </w:r>
    </w:p>
    <w:p w14:paraId="62EBA5AA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Home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Owners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Institutions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Transparency</w:t>
      </w:r>
      <w:r w:rsidRPr="00A520F7">
        <w:rPr>
          <w:rFonts w:ascii="Roboto" w:hAnsi="Roboto"/>
          <w:sz w:val="22"/>
          <w:szCs w:val="22"/>
        </w:rPr>
        <w:t xml:space="preserve"> (hub) • </w:t>
      </w:r>
      <w:r w:rsidRPr="00A520F7">
        <w:rPr>
          <w:rFonts w:ascii="Roboto" w:hAnsi="Roboto"/>
          <w:b/>
          <w:bCs/>
          <w:sz w:val="22"/>
          <w:szCs w:val="22"/>
        </w:rPr>
        <w:t>Whitepaper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Roadmap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MXTK Gives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Media</w:t>
      </w:r>
      <w:r w:rsidRPr="00A520F7">
        <w:rPr>
          <w:rFonts w:ascii="Roboto" w:hAnsi="Roboto"/>
          <w:sz w:val="22"/>
          <w:szCs w:val="22"/>
        </w:rPr>
        <w:t xml:space="preserve"> • </w:t>
      </w:r>
      <w:r w:rsidRPr="00A520F7">
        <w:rPr>
          <w:rFonts w:ascii="Roboto" w:hAnsi="Roboto"/>
          <w:b/>
          <w:bCs/>
          <w:sz w:val="22"/>
          <w:szCs w:val="22"/>
        </w:rPr>
        <w:t>Legal</w:t>
      </w:r>
      <w:r w:rsidRPr="00A520F7">
        <w:rPr>
          <w:rFonts w:ascii="Roboto" w:hAnsi="Roboto"/>
          <w:sz w:val="22"/>
          <w:szCs w:val="22"/>
        </w:rPr>
        <w:t xml:space="preserve"> (Terms, Privacy, Disclosures)</w:t>
      </w:r>
    </w:p>
    <w:p w14:paraId="053F44E7" w14:textId="77777777" w:rsidR="00015262" w:rsidRPr="00A520F7" w:rsidRDefault="002C4531">
      <w:pPr>
        <w:rPr>
          <w:rFonts w:ascii="Roboto" w:hAnsi="Roboto"/>
          <w:sz w:val="22"/>
          <w:szCs w:val="22"/>
        </w:rPr>
      </w:pPr>
      <w:r w:rsidRPr="002C4531">
        <w:rPr>
          <w:rFonts w:ascii="Roboto" w:hAnsi="Roboto"/>
          <w:noProof/>
          <w:sz w:val="22"/>
          <w:szCs w:val="22"/>
        </w:rPr>
        <w:pict w14:anchorId="291EA955">
          <v:rect id="_x0000_i1026" alt="" style="width:468pt;height:.05pt;mso-width-percent:0;mso-height-percent:0;mso-width-percent:0;mso-height-percent:0" o:hralign="center" o:hrstd="t" o:hr="t"/>
        </w:pict>
      </w:r>
    </w:p>
    <w:p w14:paraId="2B0354C5" w14:textId="77777777" w:rsidR="00A520F7" w:rsidRPr="00A520F7" w:rsidRDefault="00A520F7">
      <w:pPr>
        <w:rPr>
          <w:rFonts w:ascii="Roboto" w:eastAsiaTheme="majorEastAsia" w:hAnsi="Roboto" w:cstheme="majorBidi"/>
          <w:color w:val="0F4761" w:themeColor="accent1" w:themeShade="BF"/>
          <w:sz w:val="28"/>
          <w:szCs w:val="28"/>
        </w:rPr>
      </w:pPr>
      <w:bookmarkStart w:id="5" w:name="decisions--the-why"/>
      <w:bookmarkEnd w:id="4"/>
      <w:r w:rsidRPr="00A520F7">
        <w:rPr>
          <w:rFonts w:ascii="Roboto" w:hAnsi="Roboto"/>
          <w:sz w:val="22"/>
          <w:szCs w:val="22"/>
        </w:rPr>
        <w:br w:type="page"/>
      </w:r>
    </w:p>
    <w:p w14:paraId="6742F2BC" w14:textId="065CA3C4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r w:rsidRPr="00A520F7">
        <w:rPr>
          <w:rFonts w:ascii="Roboto" w:hAnsi="Roboto"/>
          <w:sz w:val="28"/>
          <w:szCs w:val="28"/>
        </w:rPr>
        <w:lastRenderedPageBreak/>
        <w:t>Decisions &amp; the “why”</w:t>
      </w:r>
    </w:p>
    <w:p w14:paraId="0E670592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Platform &amp; tech</w:t>
      </w:r>
    </w:p>
    <w:p w14:paraId="214D5B67" w14:textId="77777777" w:rsidR="00015262" w:rsidRPr="00A520F7" w:rsidRDefault="00000000">
      <w:pPr>
        <w:numPr>
          <w:ilvl w:val="0"/>
          <w:numId w:val="4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Next.js 14 + TS + Tailwind:</w:t>
      </w:r>
      <w:r w:rsidRPr="00A520F7">
        <w:rPr>
          <w:rFonts w:ascii="Roboto" w:hAnsi="Roboto"/>
          <w:sz w:val="22"/>
          <w:szCs w:val="22"/>
        </w:rPr>
        <w:t xml:space="preserve"> enterprise‑grade, fast, a11y‑friendly; design tokens keep the look cohesive.</w:t>
      </w:r>
    </w:p>
    <w:p w14:paraId="2FB83C16" w14:textId="77777777" w:rsidR="00015262" w:rsidRPr="00A520F7" w:rsidRDefault="00000000">
      <w:pPr>
        <w:numPr>
          <w:ilvl w:val="0"/>
          <w:numId w:val="4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Directus + MDX:</w:t>
      </w:r>
      <w:r w:rsidRPr="00A520F7">
        <w:rPr>
          <w:rFonts w:ascii="Roboto" w:hAnsi="Roboto"/>
          <w:sz w:val="22"/>
          <w:szCs w:val="22"/>
        </w:rPr>
        <w:t xml:space="preserve"> Non‑technical editors manage structured data (proofs, addresses, oracle versions) in Directus; engineers keep long‑form docs versioned in Git via MDX.</w:t>
      </w:r>
    </w:p>
    <w:p w14:paraId="49E5DE46" w14:textId="77777777" w:rsidR="00015262" w:rsidRPr="00A520F7" w:rsidRDefault="00000000">
      <w:pPr>
        <w:numPr>
          <w:ilvl w:val="0"/>
          <w:numId w:val="4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Arbitrum + wagmi/viem:</w:t>
      </w:r>
      <w:r w:rsidRPr="00A520F7">
        <w:rPr>
          <w:rFonts w:ascii="Roboto" w:hAnsi="Roboto"/>
          <w:sz w:val="22"/>
          <w:szCs w:val="22"/>
        </w:rPr>
        <w:t xml:space="preserve"> Low fees and transparent reads for addresses/pools.</w:t>
      </w:r>
    </w:p>
    <w:p w14:paraId="128D0BCF" w14:textId="77777777" w:rsidR="00015262" w:rsidRPr="00A520F7" w:rsidRDefault="00000000">
      <w:pPr>
        <w:numPr>
          <w:ilvl w:val="0"/>
          <w:numId w:val="4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Plausible + consent:</w:t>
      </w:r>
      <w:r w:rsidRPr="00A520F7">
        <w:rPr>
          <w:rFonts w:ascii="Roboto" w:hAnsi="Roboto"/>
          <w:sz w:val="22"/>
          <w:szCs w:val="22"/>
        </w:rPr>
        <w:t xml:space="preserve"> Privacy‑first analytics with an explicit banner.</w:t>
      </w:r>
    </w:p>
    <w:p w14:paraId="480AB8A6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Trust &amp; transparency</w:t>
      </w:r>
    </w:p>
    <w:p w14:paraId="5E5A97D6" w14:textId="77777777" w:rsidR="00015262" w:rsidRPr="00A520F7" w:rsidRDefault="00000000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IPFS proofs</w:t>
      </w:r>
      <w:r w:rsidRPr="00A520F7">
        <w:rPr>
          <w:rFonts w:ascii="Roboto" w:hAnsi="Roboto"/>
          <w:sz w:val="22"/>
          <w:szCs w:val="22"/>
        </w:rPr>
        <w:t xml:space="preserve"> with hashes, issuer, scope, date; downloadable.</w:t>
      </w:r>
    </w:p>
    <w:p w14:paraId="547FDD49" w14:textId="77777777" w:rsidR="00015262" w:rsidRPr="00A520F7" w:rsidRDefault="00000000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Oracle methodology</w:t>
      </w:r>
      <w:r w:rsidRPr="00A520F7">
        <w:rPr>
          <w:rFonts w:ascii="Roboto" w:hAnsi="Roboto"/>
          <w:sz w:val="22"/>
          <w:szCs w:val="22"/>
        </w:rPr>
        <w:t xml:space="preserve"> + </w:t>
      </w:r>
      <w:r w:rsidRPr="00A520F7">
        <w:rPr>
          <w:rFonts w:ascii="Roboto" w:hAnsi="Roboto"/>
          <w:b/>
          <w:bCs/>
          <w:sz w:val="22"/>
          <w:szCs w:val="22"/>
        </w:rPr>
        <w:t>change log</w:t>
      </w:r>
      <w:r w:rsidRPr="00A520F7">
        <w:rPr>
          <w:rFonts w:ascii="Roboto" w:hAnsi="Roboto"/>
          <w:sz w:val="22"/>
          <w:szCs w:val="22"/>
        </w:rPr>
        <w:t xml:space="preserve"> to document inputs and governance of updates.</w:t>
      </w:r>
    </w:p>
    <w:p w14:paraId="48590C9D" w14:textId="77777777" w:rsidR="00015262" w:rsidRPr="00A520F7" w:rsidRDefault="00000000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On‑chain addresses</w:t>
      </w:r>
      <w:r w:rsidRPr="00A520F7">
        <w:rPr>
          <w:rFonts w:ascii="Roboto" w:hAnsi="Roboto"/>
          <w:sz w:val="22"/>
          <w:szCs w:val="22"/>
        </w:rPr>
        <w:t xml:space="preserve"> (token, pool(s), LP locks, multisig, timelock) published as they go live.</w:t>
      </w:r>
    </w:p>
    <w:p w14:paraId="1B45CDBC" w14:textId="77777777" w:rsidR="00015262" w:rsidRPr="00A520F7" w:rsidRDefault="00000000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OTC monthly aggregates</w:t>
      </w:r>
      <w:r w:rsidRPr="00A520F7">
        <w:rPr>
          <w:rFonts w:ascii="Roboto" w:hAnsi="Roboto"/>
          <w:sz w:val="22"/>
          <w:szCs w:val="22"/>
        </w:rPr>
        <w:t xml:space="preserve"> (anonymized) and a candid </w:t>
      </w:r>
      <w:r w:rsidRPr="00A520F7">
        <w:rPr>
          <w:rFonts w:ascii="Roboto" w:hAnsi="Roboto"/>
          <w:b/>
          <w:bCs/>
          <w:sz w:val="22"/>
          <w:szCs w:val="22"/>
        </w:rPr>
        <w:t>risk</w:t>
      </w:r>
      <w:r w:rsidRPr="00A520F7">
        <w:rPr>
          <w:rFonts w:ascii="Roboto" w:hAnsi="Roboto"/>
          <w:sz w:val="22"/>
          <w:szCs w:val="22"/>
        </w:rPr>
        <w:t xml:space="preserve"> section.</w:t>
      </w:r>
    </w:p>
    <w:p w14:paraId="5FF271F2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Content &amp; UX</w:t>
      </w:r>
    </w:p>
    <w:p w14:paraId="730A4A25" w14:textId="77777777" w:rsidR="00015262" w:rsidRPr="00A520F7" w:rsidRDefault="00000000">
      <w:pPr>
        <w:numPr>
          <w:ilvl w:val="0"/>
          <w:numId w:val="6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Light default</w:t>
      </w:r>
      <w:r w:rsidRPr="00A520F7">
        <w:rPr>
          <w:rFonts w:ascii="Roboto" w:hAnsi="Roboto"/>
          <w:sz w:val="22"/>
          <w:szCs w:val="22"/>
        </w:rPr>
        <w:t xml:space="preserve"> reassures owners/institutions; </w:t>
      </w:r>
      <w:r w:rsidRPr="00A520F7">
        <w:rPr>
          <w:rFonts w:ascii="Roboto" w:hAnsi="Roboto"/>
          <w:b/>
          <w:bCs/>
          <w:sz w:val="22"/>
          <w:szCs w:val="22"/>
        </w:rPr>
        <w:t>Dark toggle</w:t>
      </w:r>
      <w:r w:rsidRPr="00A520F7">
        <w:rPr>
          <w:rFonts w:ascii="Roboto" w:hAnsi="Roboto"/>
          <w:sz w:val="22"/>
          <w:szCs w:val="22"/>
        </w:rPr>
        <w:t xml:space="preserve"> keeps crypto ergonomics.</w:t>
      </w:r>
    </w:p>
    <w:p w14:paraId="6CCB6998" w14:textId="77777777" w:rsidR="00015262" w:rsidRPr="00A520F7" w:rsidRDefault="00000000">
      <w:pPr>
        <w:numPr>
          <w:ilvl w:val="0"/>
          <w:numId w:val="6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Data‑source badges</w:t>
      </w:r>
      <w:r w:rsidRPr="00A520F7">
        <w:rPr>
          <w:rFonts w:ascii="Roboto" w:hAnsi="Roboto"/>
          <w:sz w:val="22"/>
          <w:szCs w:val="22"/>
        </w:rPr>
        <w:t xml:space="preserve"> and </w:t>
      </w:r>
      <w:r w:rsidRPr="00A520F7">
        <w:rPr>
          <w:rFonts w:ascii="Roboto" w:hAnsi="Roboto"/>
          <w:b/>
          <w:bCs/>
          <w:sz w:val="22"/>
          <w:szCs w:val="22"/>
        </w:rPr>
        <w:t>Preview</w:t>
      </w:r>
      <w:r w:rsidRPr="00A520F7">
        <w:rPr>
          <w:rFonts w:ascii="Roboto" w:hAnsi="Roboto"/>
          <w:sz w:val="22"/>
          <w:szCs w:val="22"/>
        </w:rPr>
        <w:t xml:space="preserve"> labeling prevent over‑statement before data is live.</w:t>
      </w:r>
    </w:p>
    <w:p w14:paraId="529EEBAC" w14:textId="77777777" w:rsidR="00015262" w:rsidRPr="00A520F7" w:rsidRDefault="00000000">
      <w:pPr>
        <w:numPr>
          <w:ilvl w:val="0"/>
          <w:numId w:val="6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High contrast, keyboard support, and fast loading to meet institutional expectations.</w:t>
      </w:r>
    </w:p>
    <w:p w14:paraId="35C3FE46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Integrations (placeholders until finalized)</w:t>
      </w:r>
    </w:p>
    <w:p w14:paraId="3AFEA6A3" w14:textId="77777777" w:rsidR="00015262" w:rsidRPr="00A520F7" w:rsidRDefault="00000000">
      <w:pPr>
        <w:numPr>
          <w:ilvl w:val="0"/>
          <w:numId w:val="7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KYC/AML:</w:t>
      </w:r>
      <w:r w:rsidRPr="00A520F7">
        <w:rPr>
          <w:rFonts w:ascii="Roboto" w:hAnsi="Roboto"/>
          <w:sz w:val="22"/>
          <w:szCs w:val="22"/>
        </w:rPr>
        <w:t xml:space="preserve"> Persona (placeholder).</w:t>
      </w:r>
    </w:p>
    <w:p w14:paraId="564B8192" w14:textId="77777777" w:rsidR="00015262" w:rsidRPr="00A520F7" w:rsidRDefault="00000000">
      <w:pPr>
        <w:numPr>
          <w:ilvl w:val="0"/>
          <w:numId w:val="7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Escrow/Custody:</w:t>
      </w:r>
      <w:r w:rsidRPr="00A520F7">
        <w:rPr>
          <w:rFonts w:ascii="Roboto" w:hAnsi="Roboto"/>
          <w:sz w:val="22"/>
          <w:szCs w:val="22"/>
        </w:rPr>
        <w:t xml:space="preserve"> BitGo (placeholder).</w:t>
      </w:r>
    </w:p>
    <w:p w14:paraId="29B6AD62" w14:textId="77777777" w:rsidR="00015262" w:rsidRPr="00A520F7" w:rsidRDefault="00000000">
      <w:pPr>
        <w:numPr>
          <w:ilvl w:val="0"/>
          <w:numId w:val="7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Deep engineering appendices can live in a gated data room if needed.</w:t>
      </w:r>
    </w:p>
    <w:p w14:paraId="52A4CCD8" w14:textId="77777777" w:rsidR="00A520F7" w:rsidRDefault="00A520F7">
      <w:pPr>
        <w:rPr>
          <w:rFonts w:ascii="Roboto" w:eastAsiaTheme="majorEastAsia" w:hAnsi="Roboto" w:cstheme="majorBidi"/>
          <w:color w:val="0F4761" w:themeColor="accent1" w:themeShade="BF"/>
          <w:sz w:val="28"/>
          <w:szCs w:val="28"/>
        </w:rPr>
      </w:pPr>
      <w:bookmarkStart w:id="6" w:name="visual-mockups-wireframes"/>
      <w:bookmarkEnd w:id="5"/>
      <w:r>
        <w:rPr>
          <w:rFonts w:ascii="Roboto" w:hAnsi="Roboto"/>
          <w:sz w:val="28"/>
          <w:szCs w:val="28"/>
        </w:rPr>
        <w:br w:type="page"/>
      </w:r>
    </w:p>
    <w:p w14:paraId="3B22A028" w14:textId="2BF78B39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r w:rsidRPr="00A520F7">
        <w:rPr>
          <w:rFonts w:ascii="Roboto" w:hAnsi="Roboto"/>
          <w:sz w:val="28"/>
          <w:szCs w:val="28"/>
        </w:rPr>
        <w:lastRenderedPageBreak/>
        <w:t>Visual mockups (wireframes)</w:t>
      </w:r>
    </w:p>
    <w:p w14:paraId="3A66E530" w14:textId="77777777" w:rsidR="00015262" w:rsidRPr="00A520F7" w:rsidRDefault="00000000">
      <w:pPr>
        <w:pStyle w:val="Block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Note: These are concept visuals to align on layout and content.</w:t>
      </w:r>
    </w:p>
    <w:p w14:paraId="1873474B" w14:textId="77777777" w:rsidR="00015262" w:rsidRPr="00A520F7" w:rsidRDefault="00000000">
      <w:pPr>
        <w:pStyle w:val="Heading3"/>
        <w:rPr>
          <w:rFonts w:ascii="Roboto" w:hAnsi="Roboto"/>
          <w:sz w:val="24"/>
          <w:szCs w:val="24"/>
        </w:rPr>
      </w:pPr>
      <w:bookmarkStart w:id="7" w:name="light-theme-default"/>
      <w:r w:rsidRPr="00A520F7">
        <w:rPr>
          <w:rFonts w:ascii="Roboto" w:hAnsi="Roboto"/>
          <w:sz w:val="24"/>
          <w:szCs w:val="24"/>
        </w:rPr>
        <w:t>Light theme (default)</w:t>
      </w:r>
    </w:p>
    <w:p w14:paraId="1982CE75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Brand palette (approx.)</w:t>
      </w:r>
      <w:r w:rsidRPr="00A520F7">
        <w:rPr>
          <w:rFonts w:ascii="Roboto" w:hAnsi="Roboto"/>
          <w:sz w:val="22"/>
          <w:szCs w:val="22"/>
        </w:rPr>
        <w:t xml:space="preserve"> — white background with MXTK accents in orange and navy, plus teal/copper for calls‑to‑action.</w:t>
      </w:r>
    </w:p>
    <w:p w14:paraId="67C7A95B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598A4834" wp14:editId="2900CB75">
            <wp:extent cx="5334000" cy="1371600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/Users/leorami/Development/mxtk-site/Mockups/mxtk_palette_ligh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7198C" w14:textId="437B2F05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Top navigation (Light)</w:t>
      </w:r>
    </w:p>
    <w:p w14:paraId="6150F197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1E8A15CE" wp14:editId="3273528F">
            <wp:extent cx="5334000" cy="762000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/Users/leorami/Development/mxtk-site/Mockups/mxtk_nav_ligh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BEECB" w14:textId="71B90064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Landing (hero + proof tiles, Light)</w:t>
      </w:r>
    </w:p>
    <w:p w14:paraId="65E45543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0D32FFCF" wp14:editId="6830983C">
            <wp:extent cx="5334000" cy="3429000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/Users/leorami/Development/mxtk-site/Mockups/mxtk_landing_ligh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36DD5" w14:textId="77777777" w:rsidR="00A520F7" w:rsidRPr="00A520F7" w:rsidRDefault="00A520F7">
      <w:pPr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br w:type="page"/>
      </w:r>
    </w:p>
    <w:p w14:paraId="1664C0E8" w14:textId="03A7E687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lastRenderedPageBreak/>
        <w:t>Transparency hub (Light)</w:t>
      </w:r>
    </w:p>
    <w:p w14:paraId="29CD8CA3" w14:textId="77777777" w:rsid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3CC260B7" wp14:editId="4E3B1AF9">
            <wp:extent cx="5334000" cy="1852110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/Users/leorami/Development/mxtk-site/Mockups/mxtk_transparency_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147" b="4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51FC" w14:textId="233E5848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Institutions page (Light)</w:t>
      </w:r>
    </w:p>
    <w:p w14:paraId="362DB77D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4AA711EC" wp14:editId="4D9DA44F">
            <wp:extent cx="5334000" cy="2023674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/Users/leorami/Development/mxtk-site/Mockups/mxtk_institutions_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40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AF1E2" w14:textId="79511208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Footer (Light)</w:t>
      </w:r>
    </w:p>
    <w:p w14:paraId="077E53EE" w14:textId="77777777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4A0E101B" wp14:editId="188CB2CE">
            <wp:extent cx="5334000" cy="685800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/Users/leorami/Development/mxtk-site/Mockups/mxtk_footer_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7CC3E" w14:textId="77777777" w:rsidR="00A520F7" w:rsidRDefault="00A520F7">
      <w:pPr>
        <w:rPr>
          <w:rFonts w:ascii="Roboto" w:eastAsiaTheme="majorEastAsia" w:hAnsi="Roboto" w:cstheme="majorBidi"/>
          <w:color w:val="0F4761" w:themeColor="accent1" w:themeShade="BF"/>
        </w:rPr>
      </w:pPr>
      <w:bookmarkStart w:id="8" w:name="dark-theme-optional-toggle"/>
      <w:bookmarkEnd w:id="7"/>
      <w:r>
        <w:rPr>
          <w:rFonts w:ascii="Roboto" w:hAnsi="Roboto"/>
        </w:rPr>
        <w:br w:type="page"/>
      </w:r>
    </w:p>
    <w:p w14:paraId="1466895C" w14:textId="2C214604" w:rsidR="00015262" w:rsidRPr="00A520F7" w:rsidRDefault="00000000">
      <w:pPr>
        <w:pStyle w:val="Heading3"/>
        <w:rPr>
          <w:rFonts w:ascii="Roboto" w:hAnsi="Roboto"/>
          <w:sz w:val="24"/>
          <w:szCs w:val="24"/>
        </w:rPr>
      </w:pPr>
      <w:r w:rsidRPr="00A520F7">
        <w:rPr>
          <w:rFonts w:ascii="Roboto" w:hAnsi="Roboto"/>
          <w:sz w:val="24"/>
          <w:szCs w:val="24"/>
        </w:rPr>
        <w:lastRenderedPageBreak/>
        <w:t>Dark theme (optional toggle)</w:t>
      </w:r>
    </w:p>
    <w:p w14:paraId="3CB0553B" w14:textId="77777777" w:rsidR="00015262" w:rsidRPr="00A520F7" w:rsidRDefault="00000000">
      <w:pPr>
        <w:pStyle w:val="FirstParagraph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Top nav, landing, transparency, institutions, and footer in Dark for crypto‑native audiences are shown below.</w:t>
      </w:r>
    </w:p>
    <w:p w14:paraId="53C284DC" w14:textId="77777777" w:rsidR="00015262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Top navigation (Dark)</w:t>
      </w:r>
    </w:p>
    <w:p w14:paraId="41142722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68B437E4" wp14:editId="64D1025D">
            <wp:extent cx="5334000" cy="762000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leorami/Development/mxtk-site/Mockups/mxtk_na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FD040" w14:textId="25490B24" w:rsidR="00015262" w:rsidRPr="00A520F7" w:rsidRDefault="00000000" w:rsidP="00A520F7">
      <w:pPr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Landing (Dark)</w:t>
      </w:r>
    </w:p>
    <w:p w14:paraId="2F98448A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41549023" wp14:editId="642A6D33">
            <wp:extent cx="5334000" cy="3429000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leorami/Development/mxtk-site/Mockups/mxtk_landi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04F2F" w14:textId="77777777" w:rsidR="00A520F7" w:rsidRDefault="00A520F7">
      <w:pPr>
        <w:rPr>
          <w:rFonts w:ascii="Roboto" w:hAnsi="Roboto"/>
          <w:b/>
          <w:bCs/>
          <w:sz w:val="22"/>
          <w:szCs w:val="22"/>
        </w:rPr>
      </w:pPr>
      <w:r>
        <w:rPr>
          <w:rFonts w:ascii="Roboto" w:hAnsi="Roboto"/>
          <w:b/>
          <w:bCs/>
          <w:sz w:val="22"/>
          <w:szCs w:val="22"/>
        </w:rPr>
        <w:br w:type="page"/>
      </w:r>
    </w:p>
    <w:p w14:paraId="24950968" w14:textId="1AC2908E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lastRenderedPageBreak/>
        <w:t>Transparency hub (Dark)</w:t>
      </w:r>
    </w:p>
    <w:p w14:paraId="715D1CF8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4AAC193D" wp14:editId="6D696BEE">
            <wp:extent cx="5334000" cy="3429000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Users/leorami/Development/mxtk-site/Mockups/mxtk_transparenc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6B2AD" w14:textId="423B0C6C" w:rsidR="00015262" w:rsidRPr="00A520F7" w:rsidRDefault="00000000" w:rsidP="00A520F7">
      <w:pPr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Institutions (Dark)</w:t>
      </w:r>
    </w:p>
    <w:p w14:paraId="0EEA9AAD" w14:textId="77777777" w:rsidR="00A520F7" w:rsidRPr="00A520F7" w:rsidRDefault="00000000">
      <w:pPr>
        <w:pStyle w:val="BodyText"/>
        <w:rPr>
          <w:rFonts w:ascii="Roboto" w:hAnsi="Roboto"/>
          <w:b/>
          <w:bCs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0E35A2F3" wp14:editId="3AB8F582">
            <wp:extent cx="5334000" cy="3429000"/>
            <wp:effectExtent l="0" t="0" r="0" b="0"/>
            <wp:docPr id="5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Users/leorami/Development/mxtk-site/Mockups/mxtk_institution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14CCC" w14:textId="1C2D3F85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Footer (Dark)</w:t>
      </w:r>
    </w:p>
    <w:p w14:paraId="5DFBFF8E" w14:textId="77777777" w:rsidR="00015262" w:rsidRPr="00A520F7" w:rsidRDefault="00000000">
      <w:pPr>
        <w:pStyle w:val="BodyText"/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noProof/>
          <w:sz w:val="22"/>
          <w:szCs w:val="22"/>
        </w:rPr>
        <w:drawing>
          <wp:inline distT="0" distB="0" distL="0" distR="0" wp14:anchorId="64AF3CAA" wp14:editId="31B727B1">
            <wp:extent cx="5334000" cy="685800"/>
            <wp:effectExtent l="0" t="0" r="0" b="0"/>
            <wp:docPr id="5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Users/leorami/Development/mxtk-site/Mockups/mxtk_foot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7D56F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9" w:name="what-ships-day-one"/>
      <w:bookmarkEnd w:id="6"/>
      <w:bookmarkEnd w:id="8"/>
      <w:r w:rsidRPr="00A520F7">
        <w:rPr>
          <w:rFonts w:ascii="Roboto" w:hAnsi="Roboto"/>
          <w:sz w:val="28"/>
          <w:szCs w:val="28"/>
        </w:rPr>
        <w:lastRenderedPageBreak/>
        <w:t>What ships day one</w:t>
      </w:r>
    </w:p>
    <w:p w14:paraId="2113DDEA" w14:textId="77777777" w:rsidR="00015262" w:rsidRPr="00A520F7" w:rsidRDefault="00000000">
      <w:pPr>
        <w:numPr>
          <w:ilvl w:val="0"/>
          <w:numId w:val="8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Transparency hub</w:t>
      </w:r>
      <w:r w:rsidRPr="00A520F7">
        <w:rPr>
          <w:rFonts w:ascii="Roboto" w:hAnsi="Roboto"/>
          <w:sz w:val="22"/>
          <w:szCs w:val="22"/>
        </w:rPr>
        <w:t xml:space="preserve"> scaffolding with placeholders clearly labeled; swap to live CIDs and addresses as they’re approved.</w:t>
      </w:r>
    </w:p>
    <w:p w14:paraId="123524A4" w14:textId="77777777" w:rsidR="00015262" w:rsidRPr="00A520F7" w:rsidRDefault="00000000">
      <w:pPr>
        <w:numPr>
          <w:ilvl w:val="0"/>
          <w:numId w:val="8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Owners</w:t>
      </w:r>
      <w:r w:rsidRPr="00A520F7">
        <w:rPr>
          <w:rFonts w:ascii="Roboto" w:hAnsi="Roboto"/>
          <w:sz w:val="22"/>
          <w:szCs w:val="22"/>
        </w:rPr>
        <w:t xml:space="preserve"> and </w:t>
      </w:r>
      <w:r w:rsidRPr="00A520F7">
        <w:rPr>
          <w:rFonts w:ascii="Roboto" w:hAnsi="Roboto"/>
          <w:b/>
          <w:bCs/>
          <w:sz w:val="22"/>
          <w:szCs w:val="22"/>
        </w:rPr>
        <w:t>Institutions</w:t>
      </w:r>
      <w:r w:rsidRPr="00A520F7">
        <w:rPr>
          <w:rFonts w:ascii="Roboto" w:hAnsi="Roboto"/>
          <w:sz w:val="22"/>
          <w:szCs w:val="22"/>
        </w:rPr>
        <w:t xml:space="preserve"> pages with the right language and modules.</w:t>
      </w:r>
    </w:p>
    <w:p w14:paraId="1BCB57C2" w14:textId="77777777" w:rsidR="00015262" w:rsidRPr="00A520F7" w:rsidRDefault="00000000">
      <w:pPr>
        <w:numPr>
          <w:ilvl w:val="0"/>
          <w:numId w:val="8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MXTK Gives</w:t>
      </w:r>
      <w:r w:rsidRPr="00A520F7">
        <w:rPr>
          <w:rFonts w:ascii="Roboto" w:hAnsi="Roboto"/>
          <w:sz w:val="22"/>
          <w:szCs w:val="22"/>
        </w:rPr>
        <w:t xml:space="preserve"> program page + nomination form; Encast partnership noted.</w:t>
      </w:r>
    </w:p>
    <w:p w14:paraId="62F27F72" w14:textId="77777777" w:rsidR="00015262" w:rsidRPr="00A520F7" w:rsidRDefault="00000000">
      <w:pPr>
        <w:numPr>
          <w:ilvl w:val="0"/>
          <w:numId w:val="8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b/>
          <w:bCs/>
          <w:sz w:val="22"/>
          <w:szCs w:val="22"/>
        </w:rPr>
        <w:t>Media</w:t>
      </w:r>
      <w:r w:rsidRPr="00A520F7">
        <w:rPr>
          <w:rFonts w:ascii="Roboto" w:hAnsi="Roboto"/>
          <w:sz w:val="22"/>
          <w:szCs w:val="22"/>
        </w:rPr>
        <w:t xml:space="preserve"> page (boilerplate, logo assets) and </w:t>
      </w:r>
      <w:r w:rsidRPr="00A520F7">
        <w:rPr>
          <w:rFonts w:ascii="Roboto" w:hAnsi="Roboto"/>
          <w:b/>
          <w:bCs/>
          <w:sz w:val="22"/>
          <w:szCs w:val="22"/>
        </w:rPr>
        <w:t>Legal</w:t>
      </w:r>
      <w:r w:rsidRPr="00A520F7">
        <w:rPr>
          <w:rFonts w:ascii="Roboto" w:hAnsi="Roboto"/>
          <w:sz w:val="22"/>
          <w:szCs w:val="22"/>
        </w:rPr>
        <w:t xml:space="preserve"> (Terms, Privacy, Disclosures).</w:t>
      </w:r>
    </w:p>
    <w:p w14:paraId="0C102DAE" w14:textId="77777777" w:rsidR="00015262" w:rsidRPr="00A520F7" w:rsidRDefault="00000000">
      <w:pPr>
        <w:numPr>
          <w:ilvl w:val="0"/>
          <w:numId w:val="8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Performance, accessibility, and cookie consent.</w:t>
      </w:r>
    </w:p>
    <w:p w14:paraId="63B529F3" w14:textId="77777777" w:rsidR="00015262" w:rsidRPr="00A520F7" w:rsidRDefault="002C4531">
      <w:pPr>
        <w:rPr>
          <w:rFonts w:ascii="Roboto" w:hAnsi="Roboto"/>
          <w:sz w:val="22"/>
          <w:szCs w:val="22"/>
        </w:rPr>
      </w:pPr>
      <w:r w:rsidRPr="002C4531">
        <w:rPr>
          <w:rFonts w:ascii="Roboto" w:hAnsi="Roboto"/>
          <w:noProof/>
          <w:sz w:val="22"/>
          <w:szCs w:val="22"/>
        </w:rPr>
        <w:pict w14:anchorId="5A7A7449">
          <v:rect id="_x0000_i1025" alt="" style="width:468pt;height:.05pt;mso-width-percent:0;mso-height-percent:0;mso-width-percent:0;mso-height-percent:0" o:hralign="center" o:hrstd="t" o:hr="t"/>
        </w:pict>
      </w:r>
    </w:p>
    <w:p w14:paraId="381742E4" w14:textId="77777777" w:rsidR="00015262" w:rsidRPr="00A520F7" w:rsidRDefault="00000000">
      <w:pPr>
        <w:pStyle w:val="Heading2"/>
        <w:rPr>
          <w:rFonts w:ascii="Roboto" w:hAnsi="Roboto"/>
          <w:sz w:val="28"/>
          <w:szCs w:val="28"/>
        </w:rPr>
      </w:pPr>
      <w:bookmarkStart w:id="10" w:name="next-steps--asks"/>
      <w:bookmarkEnd w:id="9"/>
      <w:r w:rsidRPr="00A520F7">
        <w:rPr>
          <w:rFonts w:ascii="Roboto" w:hAnsi="Roboto"/>
          <w:sz w:val="28"/>
          <w:szCs w:val="28"/>
        </w:rPr>
        <w:t>Next steps &amp; asks</w:t>
      </w:r>
    </w:p>
    <w:p w14:paraId="6F6E0914" w14:textId="77777777" w:rsidR="00015262" w:rsidRPr="00A520F7" w:rsidRDefault="00000000">
      <w:pPr>
        <w:numPr>
          <w:ilvl w:val="0"/>
          <w:numId w:val="9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Confirm Directus for CMS and MDX for long‑form docs.</w:t>
      </w:r>
    </w:p>
    <w:p w14:paraId="6B5F45D0" w14:textId="77777777" w:rsidR="00015262" w:rsidRPr="00A520F7" w:rsidRDefault="00000000">
      <w:pPr>
        <w:numPr>
          <w:ilvl w:val="0"/>
          <w:numId w:val="9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Provide any initial proofs you’re comfortable publishing (even redacted) so we can pin to IPFS and replace placeholders.</w:t>
      </w:r>
    </w:p>
    <w:p w14:paraId="41063F03" w14:textId="77777777" w:rsidR="00015262" w:rsidRPr="00A520F7" w:rsidRDefault="00000000">
      <w:pPr>
        <w:numPr>
          <w:ilvl w:val="0"/>
          <w:numId w:val="9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Share addresses as contracts go live (pool, multisig, lockers) so we can publish them immediately.</w:t>
      </w:r>
    </w:p>
    <w:p w14:paraId="27AC3912" w14:textId="77777777" w:rsidR="00015262" w:rsidRPr="00A520F7" w:rsidRDefault="00000000">
      <w:pPr>
        <w:numPr>
          <w:ilvl w:val="0"/>
          <w:numId w:val="9"/>
        </w:numPr>
        <w:rPr>
          <w:rFonts w:ascii="Roboto" w:hAnsi="Roboto"/>
          <w:sz w:val="22"/>
          <w:szCs w:val="22"/>
        </w:rPr>
      </w:pPr>
      <w:r w:rsidRPr="00A520F7">
        <w:rPr>
          <w:rFonts w:ascii="Roboto" w:hAnsi="Roboto"/>
          <w:sz w:val="22"/>
          <w:szCs w:val="22"/>
        </w:rPr>
        <w:t>Finalize real KYC/escrow partners for the Institutions page.</w:t>
      </w:r>
    </w:p>
    <w:bookmarkEnd w:id="0"/>
    <w:bookmarkEnd w:id="10"/>
    <w:p w14:paraId="15163F5C" w14:textId="77777777" w:rsidR="00015262" w:rsidRPr="00A520F7" w:rsidRDefault="00015262">
      <w:pPr>
        <w:pStyle w:val="FirstParagraph"/>
        <w:rPr>
          <w:rFonts w:ascii="Roboto" w:hAnsi="Roboto"/>
          <w:sz w:val="22"/>
          <w:szCs w:val="22"/>
        </w:rPr>
      </w:pPr>
    </w:p>
    <w:sectPr w:rsidR="00015262" w:rsidRPr="00A520F7" w:rsidSect="00A520F7">
      <w:footnotePr>
        <w:numRestart w:val="eachSect"/>
      </w:footnotePr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2093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A522B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05C5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08234953">
    <w:abstractNumId w:val="0"/>
  </w:num>
  <w:num w:numId="2" w16cid:durableId="386806982">
    <w:abstractNumId w:val="1"/>
  </w:num>
  <w:num w:numId="3" w16cid:durableId="1439645048">
    <w:abstractNumId w:val="1"/>
  </w:num>
  <w:num w:numId="4" w16cid:durableId="95753585">
    <w:abstractNumId w:val="1"/>
  </w:num>
  <w:num w:numId="5" w16cid:durableId="1432313597">
    <w:abstractNumId w:val="1"/>
  </w:num>
  <w:num w:numId="6" w16cid:durableId="1798526275">
    <w:abstractNumId w:val="1"/>
  </w:num>
  <w:num w:numId="7" w16cid:durableId="559563712">
    <w:abstractNumId w:val="1"/>
  </w:num>
  <w:num w:numId="8" w16cid:durableId="1437677903">
    <w:abstractNumId w:val="1"/>
  </w:num>
  <w:num w:numId="9" w16cid:durableId="1979263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262"/>
    <w:rsid w:val="00015262"/>
    <w:rsid w:val="002C4531"/>
    <w:rsid w:val="005A4FEE"/>
    <w:rsid w:val="00A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5EBE"/>
  <w15:docId w15:val="{C4182E33-7A15-C841-97F7-47969ADB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Leo Ramirez Jr.</cp:lastModifiedBy>
  <cp:revision>2</cp:revision>
  <dcterms:created xsi:type="dcterms:W3CDTF">2025-08-19T14:59:00Z</dcterms:created>
  <dcterms:modified xsi:type="dcterms:W3CDTF">2025-08-19T15:08:00Z</dcterms:modified>
</cp:coreProperties>
</file>