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Subject: MXTK — the moves that turn promise into proof</w:t>
      </w:r>
    </w:p>
    <w:p>
      <w:pPr>
        <w:pStyle w:val="BodyText"/>
      </w:pPr>
    </w:p>
    <w:p>
      <w:pPr>
        <w:pStyle w:val="BodyText"/>
      </w:pPr>
      <w:r>
        <w:t xml:space="preserve">Bo,</w:t>
      </w:r>
    </w:p>
    <w:p>
      <w:pPr>
        <w:pStyle w:val="BodyText"/>
      </w:pPr>
    </w:p>
    <w:p>
      <w:pPr>
        <w:pStyle w:val="BodyText"/>
      </w:pPr>
      <w:r>
        <w:t xml:space="preserve">I’m writing this as your friend, an investor, and someone who’s been in the blast radius of government scrutiny before. I’ve seen how fragile great ideas can be when the paperwork, controls, and market plumbing aren’t bullet-proof. I believe in you and in what we’re building with MXTK. Below is a clear plan to tighten reality and perception at the same time, so the token can earn global trust and actually unlock verified, chain-of-custody mineral assets at scale.</w:t>
      </w:r>
    </w:p>
    <w:p>
      <w:pPr>
        <w:pStyle w:val="BodyText"/>
      </w:pPr>
    </w:p>
    <w:p>
      <w:pPr>
        <w:pStyle w:val="BodyText"/>
      </w:pPr>
      <w:r>
        <w:t xml:space="preserve">I’ll keep this practical: what to do, why it matters, and where to look.</w:t>
      </w:r>
    </w:p>
    <w:p>
      <w:pPr>
        <w:pStyle w:val="BodyText"/>
      </w:pPr>
    </w:p>
    <w:p>
      <w:pPr>
        <w:numPr>
          <w:ilvl w:val="0"/>
          <w:numId w:val="1001"/>
        </w:numPr>
      </w:pPr>
      <w:r>
        <w:t xml:space="preserve">Publish verifiable asset backing</w:t>
      </w:r>
    </w:p>
    <w:p>
      <w:pPr>
        <w:numPr>
          <w:ilvl w:val="0"/>
          <w:numId w:val="1000"/>
        </w:numPr>
      </w:pPr>
      <w:r>
        <w:t xml:space="preserve">What to do: Release third-party technical reports and legal proofs for the first tranche of mineral assets: NI 43-101/43-101F1, JORC 2012-compliant reports, SKR/custody evidence, and chain-of-title. Where confidentiality is required, publish redacted reports plus auditor letters.</w:t>
      </w:r>
    </w:p>
    <w:p>
      <w:pPr>
        <w:numPr>
          <w:ilvl w:val="0"/>
          <w:numId w:val="1000"/>
        </w:numPr>
      </w:pPr>
      <w:r>
        <w:t xml:space="preserve">Why: “Asset-backed” only lands with institutions once they can read a qualified person’s report and a legal opinion that ties those assets to token issuance.</w:t>
      </w:r>
    </w:p>
    <w:p>
      <w:pPr>
        <w:numPr>
          <w:ilvl w:val="0"/>
          <w:numId w:val="1000"/>
        </w:numPr>
      </w:pPr>
      <w:r>
        <w:t xml:space="preserve">References:</w:t>
      </w:r>
    </w:p>
    <w:p>
      <w:pPr>
        <w:numPr>
          <w:ilvl w:val="0"/>
          <w:numId w:val="1000"/>
        </w:numPr>
      </w:pPr>
      <w:r>
        <w:t xml:space="preserve">• NI 43-101 (Ontario Securities Commission):</w:t>
      </w:r>
      <w:r>
        <w:t xml:space="preserve"> </w:t>
      </w:r>
      <w:hyperlink r:id="rId20">
        <w:r>
          <w:rPr>
            <w:rStyle w:val="Hyperlink"/>
          </w:rPr>
          <w:t xml:space="preserve">https://www.osc.ca/en/securities-law/instruments-rules-policies/4/43-101/national-instrument-ni-43-101-standards-disclosure-mineral-projects-0</w:t>
        </w:r>
      </w:hyperlink>
    </w:p>
    <w:p>
      <w:pPr>
        <w:numPr>
          <w:ilvl w:val="0"/>
          <w:numId w:val="1000"/>
        </w:numPr>
      </w:pPr>
      <w:r>
        <w:t xml:space="preserve">• NI 43-101F1 form (CIM):</w:t>
      </w:r>
      <w:r>
        <w:t xml:space="preserve"> </w:t>
      </w:r>
      <w:hyperlink r:id="rId21">
        <w:r>
          <w:rPr>
            <w:rStyle w:val="Hyperlink"/>
          </w:rPr>
          <w:t xml:space="preserve">https://mrmr.cim.org/media/1017/national-instrument-43-101.pdf</w:t>
        </w:r>
      </w:hyperlink>
    </w:p>
    <w:p>
      <w:pPr>
        <w:numPr>
          <w:ilvl w:val="0"/>
          <w:numId w:val="1000"/>
        </w:numPr>
      </w:pPr>
      <w:r>
        <w:t xml:space="preserve">• JORC Code (2012):</w:t>
      </w:r>
      <w:r>
        <w:t xml:space="preserve"> </w:t>
      </w:r>
      <w:hyperlink r:id="rId22">
        <w:r>
          <w:rPr>
            <w:rStyle w:val="Hyperlink"/>
          </w:rPr>
          <w:t xml:space="preserve">https://www.jorc.org/docs/JORC%20code%202012.pdf</w:t>
        </w:r>
      </w:hyperlink>
    </w:p>
    <w:p>
      <w:pPr>
        <w:numPr>
          <w:ilvl w:val="0"/>
          <w:numId w:val="1000"/>
        </w:numPr>
      </w:pPr>
      <w:r>
        <w:t xml:space="preserve">• SKR overview (plain-English explainer):</w:t>
      </w:r>
      <w:r>
        <w:t xml:space="preserve"> </w:t>
      </w:r>
      <w:hyperlink r:id="rId23">
        <w:r>
          <w:rPr>
            <w:rStyle w:val="Hyperlink"/>
          </w:rPr>
          <w:t xml:space="preserve">https://www.investopedia.com/terms/s/safekeeping-receipt.asp</w:t>
        </w:r>
      </w:hyperlink>
    </w:p>
    <w:p>
      <w:pPr>
        <w:numPr>
          <w:ilvl w:val="0"/>
          <w:numId w:val="1001"/>
        </w:numPr>
      </w:pPr>
      <w:r>
        <w:t xml:space="preserve">Align the valuation “oracle” with evidence and governance</w:t>
      </w:r>
    </w:p>
    <w:p>
      <w:pPr>
        <w:numPr>
          <w:ilvl w:val="0"/>
          <w:numId w:val="1000"/>
        </w:numPr>
      </w:pPr>
      <w:r>
        <w:t xml:space="preserve">What to do: Document the oracle methodology (inputs, averaging windows, who updates it, and when). Move price publication to a governed process (e.g., multisig sign-off + time-locked updates) and add a change log.</w:t>
      </w:r>
    </w:p>
    <w:p>
      <w:pPr>
        <w:numPr>
          <w:ilvl w:val="0"/>
          <w:numId w:val="1000"/>
        </w:numPr>
      </w:pPr>
      <w:r>
        <w:t xml:space="preserve">Why: If price can move by decree, market cap looks like a spreadsheet function. An audited methodology reduces “mark-to-my-model” risk and makes listings and counterparties comfortable.</w:t>
      </w:r>
    </w:p>
    <w:p>
      <w:pPr>
        <w:numPr>
          <w:ilvl w:val="0"/>
          <w:numId w:val="1000"/>
        </w:numPr>
      </w:pPr>
      <w:r>
        <w:t xml:space="preserve">References:</w:t>
      </w:r>
    </w:p>
    <w:p>
      <w:pPr>
        <w:numPr>
          <w:ilvl w:val="0"/>
          <w:numId w:val="1000"/>
        </w:numPr>
      </w:pPr>
      <w:r>
        <w:t xml:space="preserve">• Chainlink price feeds &amp; governance examples:</w:t>
      </w:r>
      <w:r>
        <w:t xml:space="preserve"> </w:t>
      </w:r>
      <w:hyperlink r:id="rId24">
        <w:r>
          <w:rPr>
            <w:rStyle w:val="Hyperlink"/>
          </w:rPr>
          <w:t xml:space="preserve">https://docs.chain.link/</w:t>
        </w:r>
      </w:hyperlink>
    </w:p>
    <w:p>
      <w:pPr>
        <w:numPr>
          <w:ilvl w:val="0"/>
          <w:numId w:val="1000"/>
        </w:numPr>
      </w:pPr>
      <w:r>
        <w:t xml:space="preserve">• Proof-of-Reserve frameworks (for asset attestations rather than fiat):</w:t>
      </w:r>
      <w:r>
        <w:t xml:space="preserve"> </w:t>
      </w:r>
      <w:hyperlink r:id="rId25">
        <w:r>
          <w:rPr>
            <w:rStyle w:val="Hyperlink"/>
          </w:rPr>
          <w:t xml:space="preserve">https://docs.chain.link/data-feeds/proof-of-reserve</w:t>
        </w:r>
      </w:hyperlink>
    </w:p>
    <w:p>
      <w:pPr>
        <w:numPr>
          <w:ilvl w:val="0"/>
          <w:numId w:val="1001"/>
        </w:numPr>
      </w:pPr>
      <w:r>
        <w:t xml:space="preserve">Make the “cash register” real: visible, locked, and deep</w:t>
      </w:r>
    </w:p>
    <w:p>
      <w:pPr>
        <w:numPr>
          <w:ilvl w:val="0"/>
          <w:numId w:val="1000"/>
        </w:numPr>
      </w:pPr>
      <w:r>
        <w:t xml:space="preserve">What to do: Seed Uniswap v3 (Arbitrum) with meaningful depth across two fee tiers (e.g., 0.05% and 0.30%) using time-locked LP positions via a reputable locker; publish LP addresses and lock terms. In parallel, line up at least one market-maker mandate and a staged CEX listing.</w:t>
      </w:r>
    </w:p>
    <w:p>
      <w:pPr>
        <w:numPr>
          <w:ilvl w:val="0"/>
          <w:numId w:val="1000"/>
        </w:numPr>
      </w:pPr>
      <w:r>
        <w:t xml:space="preserve">Why: Today’s on-chain pool is effectively empty, which undermines every other claim. Deep, locked liquidity + professional making creates real price discovery and exit capacity.</w:t>
      </w:r>
    </w:p>
    <w:p>
      <w:pPr>
        <w:numPr>
          <w:ilvl w:val="0"/>
          <w:numId w:val="1000"/>
        </w:numPr>
      </w:pPr>
      <w:r>
        <w:t xml:space="preserve">References:</w:t>
      </w:r>
    </w:p>
    <w:p>
      <w:pPr>
        <w:numPr>
          <w:ilvl w:val="0"/>
          <w:numId w:val="1000"/>
        </w:numPr>
      </w:pPr>
      <w:r>
        <w:t xml:space="preserve">• Current MXTK/USDT pool (for baseline):</w:t>
      </w:r>
      <w:r>
        <w:t xml:space="preserve"> </w:t>
      </w:r>
      <w:hyperlink r:id="rId26">
        <w:r>
          <w:rPr>
            <w:rStyle w:val="Hyperlink"/>
          </w:rPr>
          <w:t xml:space="preserve">https://www.geckoterminal.com/arbitrum/pools/0xb2f92ab01d1bc42f4fde117a9ab46184af987b3b</w:t>
        </w:r>
      </w:hyperlink>
    </w:p>
    <w:p>
      <w:pPr>
        <w:numPr>
          <w:ilvl w:val="0"/>
          <w:numId w:val="1000"/>
        </w:numPr>
      </w:pPr>
      <w:r>
        <w:t xml:space="preserve">• Uniswap v3 overview (concentrated liquidity):</w:t>
      </w:r>
      <w:r>
        <w:t xml:space="preserve"> </w:t>
      </w:r>
      <w:hyperlink r:id="rId27">
        <w:r>
          <w:rPr>
            <w:rStyle w:val="Hyperlink"/>
          </w:rPr>
          <w:t xml:space="preserve">https://docs.uniswap.org/contracts/v3/overview</w:t>
        </w:r>
      </w:hyperlink>
    </w:p>
    <w:p>
      <w:pPr>
        <w:numPr>
          <w:ilvl w:val="0"/>
          <w:numId w:val="1000"/>
        </w:numPr>
      </w:pPr>
      <w:r>
        <w:t xml:space="preserve">• Uniswap v3 LP position mechanics:</w:t>
      </w:r>
      <w:r>
        <w:t xml:space="preserve"> </w:t>
      </w:r>
      <w:hyperlink r:id="rId28">
        <w:r>
          <w:rPr>
            <w:rStyle w:val="Hyperlink"/>
          </w:rPr>
          <w:t xml:space="preserve">https://docs.uniswap.org/sdk/v3/guides/liquidity/position-data</w:t>
        </w:r>
      </w:hyperlink>
    </w:p>
    <w:p>
      <w:pPr>
        <w:numPr>
          <w:ilvl w:val="0"/>
          <w:numId w:val="1000"/>
        </w:numPr>
      </w:pPr>
      <w:r>
        <w:t xml:space="preserve">• Example liquidity lockers:</w:t>
      </w:r>
      <w:r>
        <w:t xml:space="preserve"> </w:t>
      </w:r>
      <w:hyperlink r:id="rId29">
        <w:r>
          <w:rPr>
            <w:rStyle w:val="Hyperlink"/>
          </w:rPr>
          <w:t xml:space="preserve">https://docs.unicrypt.network/products/token-liquidity-locks/</w:t>
        </w:r>
      </w:hyperlink>
      <w:r>
        <w:t xml:space="preserve"> </w:t>
      </w:r>
      <w:r>
        <w:t xml:space="preserve">and</w:t>
      </w:r>
      <w:r>
        <w:t xml:space="preserve"> </w:t>
      </w:r>
      <w:hyperlink r:id="rId30">
        <w:r>
          <w:rPr>
            <w:rStyle w:val="Hyperlink"/>
          </w:rPr>
          <w:t xml:space="preserve">https://www.team.finance/</w:t>
        </w:r>
      </w:hyperlink>
    </w:p>
    <w:p>
      <w:pPr>
        <w:numPr>
          <w:ilvl w:val="0"/>
          <w:numId w:val="1001"/>
        </w:numPr>
      </w:pPr>
      <w:r>
        <w:t xml:space="preserve">Tighten OTC with compliance and settlement discipline</w:t>
      </w:r>
    </w:p>
    <w:p>
      <w:pPr>
        <w:numPr>
          <w:ilvl w:val="0"/>
          <w:numId w:val="1000"/>
        </w:numPr>
      </w:pPr>
      <w:r>
        <w:t xml:space="preserve">What to do: KYC/AML every counterparty; use standardized OTC agreements; escrow with reputable custodians; settle on-chain and disclose aggregate flows (no names) in a monthly transparency update.</w:t>
      </w:r>
    </w:p>
    <w:p>
      <w:pPr>
        <w:numPr>
          <w:ilvl w:val="0"/>
          <w:numId w:val="1000"/>
        </w:numPr>
      </w:pPr>
      <w:r>
        <w:t xml:space="preserve">Why: If growth is OTC-first, we prove it by clean rails and hard settlement, not tweets.</w:t>
      </w:r>
    </w:p>
    <w:p>
      <w:pPr>
        <w:numPr>
          <w:ilvl w:val="0"/>
          <w:numId w:val="1000"/>
        </w:numPr>
      </w:pPr>
      <w:r>
        <w:t xml:space="preserve">References:</w:t>
      </w:r>
    </w:p>
    <w:p>
      <w:pPr>
        <w:numPr>
          <w:ilvl w:val="0"/>
          <w:numId w:val="1000"/>
        </w:numPr>
      </w:pPr>
      <w:r>
        <w:t xml:space="preserve">• FinCEN guidance on “administrators/exchangers” of convertible virtual currency:</w:t>
      </w:r>
      <w:r>
        <w:t xml:space="preserve"> </w:t>
      </w:r>
      <w:hyperlink r:id="rId31">
        <w:r>
          <w:rPr>
            <w:rStyle w:val="Hyperlink"/>
          </w:rPr>
          <w:t xml:space="preserve">https://www.fincen.gov/resources/statutes-regulations/guidance/application-fincens-regulations-persons-administering</w:t>
        </w:r>
      </w:hyperlink>
    </w:p>
    <w:p>
      <w:pPr>
        <w:numPr>
          <w:ilvl w:val="0"/>
          <w:numId w:val="1001"/>
        </w:numPr>
      </w:pPr>
      <w:r>
        <w:t xml:space="preserve">Straighten contract security and control</w:t>
      </w:r>
    </w:p>
    <w:p>
      <w:pPr>
        <w:numPr>
          <w:ilvl w:val="0"/>
          <w:numId w:val="1000"/>
        </w:numPr>
      </w:pPr>
      <w:r>
        <w:t xml:space="preserve">What to do: Verify the token contract on Arbiscan; publish admin privileges (who can mint/burn/pause); move keys to a 3-of-5 (or better) multisig with a public time-lock; commission an external audit and post the report.</w:t>
      </w:r>
    </w:p>
    <w:p>
      <w:pPr>
        <w:numPr>
          <w:ilvl w:val="0"/>
          <w:numId w:val="1000"/>
        </w:numPr>
      </w:pPr>
      <w:r>
        <w:t xml:space="preserve">Why: Institutions and regulators look for single-key risk and undocumented powers. We remove that concern proactively.</w:t>
      </w:r>
    </w:p>
    <w:p>
      <w:pPr>
        <w:numPr>
          <w:ilvl w:val="0"/>
          <w:numId w:val="1000"/>
        </w:numPr>
      </w:pPr>
      <w:r>
        <w:t xml:space="preserve">References:</w:t>
      </w:r>
    </w:p>
    <w:p>
      <w:pPr>
        <w:numPr>
          <w:ilvl w:val="0"/>
          <w:numId w:val="1000"/>
        </w:numPr>
      </w:pPr>
      <w:r>
        <w:t xml:space="preserve">• MXTK token page (Arbitrum):</w:t>
      </w:r>
      <w:r>
        <w:t xml:space="preserve"> </w:t>
      </w:r>
      <w:hyperlink r:id="rId32">
        <w:r>
          <w:rPr>
            <w:rStyle w:val="Hyperlink"/>
          </w:rPr>
          <w:t xml:space="preserve">https://arbiscan.io/token/0x3e4Ffeb394B371AAaa0998488046Ca19d870d9Ba</w:t>
        </w:r>
      </w:hyperlink>
    </w:p>
    <w:p>
      <w:pPr>
        <w:numPr>
          <w:ilvl w:val="0"/>
          <w:numId w:val="1000"/>
        </w:numPr>
      </w:pPr>
      <w:r>
        <w:t xml:space="preserve">• OpenZeppelin timelock pattern:</w:t>
      </w:r>
      <w:r>
        <w:t xml:space="preserve"> </w:t>
      </w:r>
      <w:hyperlink r:id="rId33">
        <w:r>
          <w:rPr>
            <w:rStyle w:val="Hyperlink"/>
          </w:rPr>
          <w:t xml:space="preserve">https://docs.openzeppelin.com/contracts/4.x/api/governance#TimelockController</w:t>
        </w:r>
      </w:hyperlink>
    </w:p>
    <w:p>
      <w:pPr>
        <w:numPr>
          <w:ilvl w:val="0"/>
          <w:numId w:val="1000"/>
        </w:numPr>
      </w:pPr>
      <w:r>
        <w:t xml:space="preserve">• Representative auditors:</w:t>
      </w:r>
      <w:r>
        <w:t xml:space="preserve"> </w:t>
      </w:r>
      <w:hyperlink r:id="rId34">
        <w:r>
          <w:rPr>
            <w:rStyle w:val="Hyperlink"/>
          </w:rPr>
          <w:t xml:space="preserve">https://consensys.net/diligence/</w:t>
        </w:r>
      </w:hyperlink>
      <w:r>
        <w:t xml:space="preserve"> </w:t>
      </w:r>
      <w:r>
        <w:t xml:space="preserve">and</w:t>
      </w:r>
      <w:r>
        <w:t xml:space="preserve"> </w:t>
      </w:r>
      <w:hyperlink r:id="rId35">
        <w:r>
          <w:rPr>
            <w:rStyle w:val="Hyperlink"/>
          </w:rPr>
          <w:t xml:space="preserve">https://www.trailofbits.com/</w:t>
        </w:r>
      </w:hyperlink>
    </w:p>
    <w:p>
      <w:pPr>
        <w:numPr>
          <w:ilvl w:val="0"/>
          <w:numId w:val="1001"/>
        </w:numPr>
      </w:pPr>
      <w:r>
        <w:t xml:space="preserve">List where the rules are clear, then scale</w:t>
      </w:r>
    </w:p>
    <w:p>
      <w:pPr>
        <w:numPr>
          <w:ilvl w:val="0"/>
          <w:numId w:val="1000"/>
        </w:numPr>
      </w:pPr>
      <w:r>
        <w:t xml:space="preserve">What to do: Ensure data accuracy and trading depth before applying to aggregators and exchanges. Use their methodologies as a checklist.</w:t>
      </w:r>
    </w:p>
    <w:p>
      <w:pPr>
        <w:numPr>
          <w:ilvl w:val="0"/>
          <w:numId w:val="1000"/>
        </w:numPr>
      </w:pPr>
      <w:r>
        <w:t xml:space="preserve">Why: Credible listings require credible data. This is how we avoid “wash-cap” optics and earn rank the right way.</w:t>
      </w:r>
    </w:p>
    <w:p>
      <w:pPr>
        <w:numPr>
          <w:ilvl w:val="0"/>
          <w:numId w:val="1000"/>
        </w:numPr>
      </w:pPr>
      <w:r>
        <w:t xml:space="preserve">References:</w:t>
      </w:r>
    </w:p>
    <w:p>
      <w:pPr>
        <w:numPr>
          <w:ilvl w:val="0"/>
          <w:numId w:val="1000"/>
        </w:numPr>
      </w:pPr>
      <w:r>
        <w:t xml:space="preserve">• CoinGecko methodology:</w:t>
      </w:r>
      <w:r>
        <w:t xml:space="preserve"> </w:t>
      </w:r>
      <w:hyperlink r:id="rId36">
        <w:r>
          <w:rPr>
            <w:rStyle w:val="Hyperlink"/>
          </w:rPr>
          <w:t xml:space="preserve">https://www.coingecko.com/en/methodology</w:t>
        </w:r>
      </w:hyperlink>
    </w:p>
    <w:p>
      <w:pPr>
        <w:numPr>
          <w:ilvl w:val="0"/>
          <w:numId w:val="1000"/>
        </w:numPr>
      </w:pPr>
      <w:r>
        <w:t xml:space="preserve">• CoinMarketCap metrics:</w:t>
      </w:r>
      <w:r>
        <w:t xml:space="preserve"> </w:t>
      </w:r>
      <w:hyperlink r:id="rId37">
        <w:r>
          <w:rPr>
            <w:rStyle w:val="Hyperlink"/>
          </w:rPr>
          <w:t xml:space="preserve">https://support.coinmarketcap.com/hc/en-us/sections/360008888252-Metric-Methodologies</w:t>
        </w:r>
      </w:hyperlink>
    </w:p>
    <w:p>
      <w:pPr>
        <w:numPr>
          <w:ilvl w:val="0"/>
          <w:numId w:val="1001"/>
        </w:numPr>
      </w:pPr>
      <w:r>
        <w:t xml:space="preserve">Bond strategy: keep the upside, remove the regulatory tripwires</w:t>
      </w:r>
    </w:p>
    <w:p>
      <w:pPr>
        <w:numPr>
          <w:ilvl w:val="0"/>
          <w:numId w:val="1000"/>
        </w:numPr>
      </w:pPr>
      <w:r>
        <w:t xml:space="preserve">Given the late-1800s Peruvian gold-backed bond angle and your Senate relationships, please lock in the compliance guard-rails now.</w:t>
      </w:r>
    </w:p>
    <w:p>
      <w:pPr>
        <w:numPr>
          <w:ilvl w:val="0"/>
          <w:numId w:val="1000"/>
        </w:numPr>
      </w:pPr>
      <w:r>
        <w:t xml:space="preserve">What to do (condensed from prior memo):</w:t>
      </w:r>
    </w:p>
    <w:p>
      <w:pPr>
        <w:numPr>
          <w:ilvl w:val="0"/>
          <w:numId w:val="1000"/>
        </w:numPr>
      </w:pPr>
      <w:r>
        <w:t xml:space="preserve">• Confirm legal status and precedent: many 19th-century Peru bond claims fail in U.S. courts under FSIA; treaty arbitration is the narrow path that has worked recently.</w:t>
      </w:r>
    </w:p>
    <w:p>
      <w:pPr>
        <w:numPr>
          <w:ilvl w:val="0"/>
          <w:numId w:val="1000"/>
        </w:numPr>
      </w:pPr>
      <w:r>
        <w:t xml:space="preserve">• Treat Senate letters as reputational only; register/report any congressional outreach under LDA; evaluate FARA exposure if any U.S. asks relate to influencing Peru.</w:t>
      </w:r>
    </w:p>
    <w:p>
      <w:pPr>
        <w:numPr>
          <w:ilvl w:val="0"/>
          <w:numId w:val="1000"/>
        </w:numPr>
      </w:pPr>
      <w:r>
        <w:t xml:space="preserve">• Keep everything documentary-ready: chain-of-title audit, Peruvian-law opinion on prescription/immunity, and U.S. counsel memos on LDA/FARA/ethics.</w:t>
      </w:r>
    </w:p>
    <w:p>
      <w:pPr>
        <w:numPr>
          <w:ilvl w:val="0"/>
          <w:numId w:val="1000"/>
        </w:numPr>
      </w:pPr>
      <w:r>
        <w:t xml:space="preserve">Why: One compliance misstep can taint both the bond strategy and MXTK.</w:t>
      </w:r>
    </w:p>
    <w:p>
      <w:pPr>
        <w:numPr>
          <w:ilvl w:val="0"/>
          <w:numId w:val="1000"/>
        </w:numPr>
      </w:pPr>
      <w:r>
        <w:t xml:space="preserve">References:</w:t>
      </w:r>
    </w:p>
    <w:p>
      <w:pPr>
        <w:numPr>
          <w:ilvl w:val="0"/>
          <w:numId w:val="1000"/>
        </w:numPr>
      </w:pPr>
      <w:r>
        <w:t xml:space="preserve">• MMA Consultants v. Republic of Peru (2d Cir. 2017):</w:t>
      </w:r>
      <w:r>
        <w:t xml:space="preserve"> </w:t>
      </w:r>
      <w:hyperlink r:id="rId38">
        <w:r>
          <w:rPr>
            <w:rStyle w:val="Hyperlink"/>
          </w:rPr>
          <w:t xml:space="preserve">https://caselaw.findlaw.com/court/us-2nd-circuit/1883365.html</w:t>
        </w:r>
      </w:hyperlink>
    </w:p>
    <w:p>
      <w:pPr>
        <w:numPr>
          <w:ilvl w:val="0"/>
          <w:numId w:val="1000"/>
        </w:numPr>
      </w:pPr>
      <w:r>
        <w:t xml:space="preserve">• Gramercy v. Peru (ICSID award, 2022):</w:t>
      </w:r>
      <w:r>
        <w:t xml:space="preserve"> </w:t>
      </w:r>
      <w:hyperlink r:id="rId39">
        <w:r>
          <w:rPr>
            <w:rStyle w:val="Hyperlink"/>
          </w:rPr>
          <w:t xml:space="preserve">https://jusmundi.com/en/document/decision/en-gramercy-funds-management-llc-and-gramercy-peru-holdings-llc-v-the-republic-of-peru-award-tuesday-6th-december-2022</w:t>
        </w:r>
      </w:hyperlink>
    </w:p>
    <w:p>
      <w:pPr>
        <w:numPr>
          <w:ilvl w:val="0"/>
          <w:numId w:val="1000"/>
        </w:numPr>
      </w:pPr>
      <w:r>
        <w:t xml:space="preserve">• FSIA overview (U.S. State Dept.):</w:t>
      </w:r>
      <w:r>
        <w:t xml:space="preserve"> </w:t>
      </w:r>
      <w:hyperlink r:id="rId40">
        <w:r>
          <w:rPr>
            <w:rStyle w:val="Hyperlink"/>
          </w:rPr>
          <w:t xml:space="preserve">https://www.state.gov/wp-content/uploads/2019/10/2018-Digest-Chapter-10.pdf</w:t>
        </w:r>
      </w:hyperlink>
    </w:p>
    <w:p>
      <w:pPr>
        <w:numPr>
          <w:ilvl w:val="0"/>
          <w:numId w:val="1000"/>
        </w:numPr>
      </w:pPr>
      <w:r>
        <w:t xml:space="preserve">• Statutory FSIA text (Cornell LII):</w:t>
      </w:r>
      <w:r>
        <w:t xml:space="preserve"> </w:t>
      </w:r>
      <w:hyperlink r:id="rId41">
        <w:r>
          <w:rPr>
            <w:rStyle w:val="Hyperlink"/>
          </w:rPr>
          <w:t xml:space="preserve">https://www.law.cornell.edu/uscode/text/28/1611</w:t>
        </w:r>
      </w:hyperlink>
    </w:p>
    <w:p>
      <w:pPr>
        <w:numPr>
          <w:ilvl w:val="0"/>
          <w:numId w:val="1000"/>
        </w:numPr>
      </w:pPr>
      <w:r>
        <w:t xml:space="preserve">• LDA filings &amp; guidance (U.S. Senate):</w:t>
      </w:r>
      <w:r>
        <w:t xml:space="preserve"> </w:t>
      </w:r>
      <w:hyperlink r:id="rId42">
        <w:r>
          <w:rPr>
            <w:rStyle w:val="Hyperlink"/>
          </w:rPr>
          <w:t xml:space="preserve">https://lda.senate.gov/system/public/</w:t>
        </w:r>
      </w:hyperlink>
    </w:p>
    <w:p>
      <w:pPr>
        <w:numPr>
          <w:ilvl w:val="0"/>
          <w:numId w:val="1000"/>
        </w:numPr>
      </w:pPr>
      <w:r>
        <w:t xml:space="preserve">• DOJ FARA Unit:</w:t>
      </w:r>
      <w:r>
        <w:t xml:space="preserve"> </w:t>
      </w:r>
      <w:hyperlink r:id="rId43">
        <w:r>
          <w:rPr>
            <w:rStyle w:val="Hyperlink"/>
          </w:rPr>
          <w:t xml:space="preserve">https://www.justice.gov/nsd-fara</w:t>
        </w:r>
      </w:hyperlink>
    </w:p>
    <w:p>
      <w:pPr>
        <w:numPr>
          <w:ilvl w:val="0"/>
          <w:numId w:val="1001"/>
        </w:numPr>
      </w:pPr>
      <w:r>
        <w:t xml:space="preserve">U.S. securities posture: decide the lane and document it</w:t>
      </w:r>
    </w:p>
    <w:p>
      <w:pPr>
        <w:numPr>
          <w:ilvl w:val="0"/>
          <w:numId w:val="1000"/>
        </w:numPr>
      </w:pPr>
      <w:r>
        <w:t xml:space="preserve">What to do: Have outside counsel map MXTK against the SEC’s digital-asset framework; publish a short legal memo (or at least a position statement) on whether MXTK is a security, commodity, or other—and why.</w:t>
      </w:r>
    </w:p>
    <w:p>
      <w:pPr>
        <w:numPr>
          <w:ilvl w:val="0"/>
          <w:numId w:val="1000"/>
        </w:numPr>
      </w:pPr>
      <w:r>
        <w:t xml:space="preserve">Why: Clarity here reduces exchange, banking, and counterparty friction. If it’s a security in any offering context, register or rely on an exemption and disclose it.</w:t>
      </w:r>
    </w:p>
    <w:p>
      <w:pPr>
        <w:numPr>
          <w:ilvl w:val="0"/>
          <w:numId w:val="1000"/>
        </w:numPr>
      </w:pPr>
      <w:r>
        <w:t xml:space="preserve">References:</w:t>
      </w:r>
    </w:p>
    <w:p>
      <w:pPr>
        <w:numPr>
          <w:ilvl w:val="0"/>
          <w:numId w:val="1000"/>
        </w:numPr>
      </w:pPr>
      <w:r>
        <w:t xml:space="preserve">• SEC “Framework for ‘Investment Contract’ Analysis of Digital Assets”:</w:t>
      </w:r>
      <w:r>
        <w:t xml:space="preserve"> </w:t>
      </w:r>
      <w:hyperlink r:id="rId44">
        <w:r>
          <w:rPr>
            <w:rStyle w:val="Hyperlink"/>
          </w:rPr>
          <w:t xml:space="preserve">https://www.sec.gov/about/divisions-offices/division-corporation-finance/framework-investment-contract-analysis-digital-assets</w:t>
        </w:r>
      </w:hyperlink>
    </w:p>
    <w:p>
      <w:pPr>
        <w:numPr>
          <w:ilvl w:val="0"/>
          <w:numId w:val="1000"/>
        </w:numPr>
      </w:pPr>
      <w:r>
        <w:t xml:space="preserve">• PDF version:</w:t>
      </w:r>
      <w:r>
        <w:t xml:space="preserve"> </w:t>
      </w:r>
      <w:hyperlink r:id="rId45">
        <w:r>
          <w:rPr>
            <w:rStyle w:val="Hyperlink"/>
          </w:rPr>
          <w:t xml:space="preserve">https://www.sec.gov/files/dlt-framework.pdf</w:t>
        </w:r>
      </w:hyperlink>
    </w:p>
    <w:p>
      <w:pPr>
        <w:numPr>
          <w:ilvl w:val="0"/>
          <w:numId w:val="1001"/>
        </w:numPr>
      </w:pPr>
      <w:r>
        <w:t xml:space="preserve">Radical transparency page (single URL you keep current)</w:t>
      </w:r>
    </w:p>
    <w:p>
      <w:pPr>
        <w:numPr>
          <w:ilvl w:val="0"/>
          <w:numId w:val="1000"/>
        </w:numPr>
      </w:pPr>
      <w:r>
        <w:t xml:space="preserve">What to do: Add a “Proof &amp; Transparency” page on the site with: (a) asset reports and legal opinions, (b) oracle methodology/change log, (c) LP addresses/lock terms and MM disclosures, (d) monthly OTC transparency, (e) audit reports, (f) key-holder/multisig info, (g) clear risk factors.</w:t>
      </w:r>
    </w:p>
    <w:p>
      <w:pPr>
        <w:numPr>
          <w:ilvl w:val="0"/>
          <w:numId w:val="1000"/>
        </w:numPr>
      </w:pPr>
      <w:r>
        <w:t xml:space="preserve">Why: One living page lets skeptics self-serve. It also gives friendly journalists and exchanges everything they need in one place.</w:t>
      </w:r>
    </w:p>
    <w:p>
      <w:pPr>
        <w:numPr>
          <w:ilvl w:val="0"/>
          <w:numId w:val="1000"/>
        </w:numPr>
      </w:pPr>
      <w:r>
        <w:t xml:space="preserve">Reference:</w:t>
      </w:r>
    </w:p>
    <w:p>
      <w:pPr>
        <w:numPr>
          <w:ilvl w:val="0"/>
          <w:numId w:val="1000"/>
        </w:numPr>
      </w:pPr>
      <w:r>
        <w:t xml:space="preserve">• MXTK site (for placement):</w:t>
      </w:r>
      <w:r>
        <w:t xml:space="preserve"> </w:t>
      </w:r>
      <w:hyperlink r:id="rId46">
        <w:r>
          <w:rPr>
            <w:rStyle w:val="Hyperlink"/>
          </w:rPr>
          <w:t xml:space="preserve">https://www.mineral-token.com/</w:t>
        </w:r>
      </w:hyperlink>
    </w:p>
    <w:p>
      <w:pPr>
        <w:numPr>
          <w:ilvl w:val="0"/>
          <w:numId w:val="1001"/>
        </w:numPr>
      </w:pPr>
      <w:r>
        <w:t xml:space="preserve">30/60/90-day execution (tight but doable)</w:t>
      </w:r>
    </w:p>
    <w:p>
      <w:pPr>
        <w:numPr>
          <w:ilvl w:val="0"/>
          <w:numId w:val="1000"/>
        </w:numPr>
      </w:pPr>
      <w:r>
        <w:t xml:space="preserve">• 30 days: Post the transparency page; verify contract; move admin to multisig with timelock; publish oracle methodology; seed first $5–10M of locked LP depth on Uniswap v3; retain auditor and MM.</w:t>
      </w:r>
    </w:p>
    <w:p>
      <w:pPr>
        <w:numPr>
          <w:ilvl w:val="0"/>
          <w:numId w:val="1000"/>
        </w:numPr>
      </w:pPr>
      <w:r>
        <w:t xml:space="preserve">• 60 days: Publish first asset pack (redacted if needed) + legal opinions; expand LP to $25–50M; announce one reputable CEX; begin monthly OTC transparency updates.</w:t>
      </w:r>
    </w:p>
    <w:p>
      <w:pPr>
        <w:numPr>
          <w:ilvl w:val="0"/>
          <w:numId w:val="1000"/>
        </w:numPr>
      </w:pPr>
      <w:r>
        <w:t xml:space="preserve">• 90 days: Second asset pack; finalize audit; complete two CEX listings; publish quarterly assurance report (attestations + reserve reconciliation).</w:t>
      </w:r>
    </w:p>
    <w:p>
      <w:pPr>
        <w:pStyle w:val="FirstParagraph"/>
      </w:pPr>
    </w:p>
    <w:p>
      <w:pPr>
        <w:pStyle w:val="BodyText"/>
      </w:pPr>
    </w:p>
    <w:p>
      <w:pPr>
        <w:pStyle w:val="BodyText"/>
      </w:pPr>
      <w:r>
        <w:t xml:space="preserve">Two closing notes</w:t>
      </w:r>
    </w:p>
    <w:p>
      <w:pPr>
        <w:pStyle w:val="BodyText"/>
      </w:pPr>
    </w:p>
    <w:p>
      <w:pPr>
        <w:numPr>
          <w:ilvl w:val="0"/>
          <w:numId w:val="1002"/>
        </w:numPr>
      </w:pPr>
      <w:r>
        <w:t xml:space="preserve">I’m protective because I’ve lived the downside. Clean structure, boring controls, and receipts are what let us go big without stepping on a landmine.</w:t>
      </w:r>
    </w:p>
    <w:p>
      <w:pPr>
        <w:numPr>
          <w:ilvl w:val="0"/>
          <w:numId w:val="1002"/>
        </w:numPr>
      </w:pPr>
      <w:r>
        <w:t xml:space="preserve">I’m all-in on the vision: if we pair verified assets, professional market plumbing, and disciplined compliance, MXTK can be genuinely new—not just another “pegged” coin with marketing gloss.</w:t>
      </w:r>
    </w:p>
    <w:p>
      <w:pPr>
        <w:pStyle w:val="FirstParagraph"/>
      </w:pPr>
    </w:p>
    <w:p>
      <w:pPr>
        <w:pStyle w:val="BodyText"/>
      </w:pPr>
    </w:p>
    <w:p>
      <w:pPr>
        <w:pStyle w:val="BodyText"/>
      </w:pPr>
      <w:r>
        <w:t xml:space="preserve">If you want, I’ll help project-manage the transparency page and first liquidity deployment. Let’s make the next public update one that even skeptics will respect.</w:t>
      </w:r>
    </w:p>
    <w:p>
      <w:pPr>
        <w:pStyle w:val="BodyText"/>
      </w:pPr>
    </w:p>
    <w:p>
      <w:pPr>
        <w:pStyle w:val="BodyText"/>
      </w:pPr>
      <w:r>
        <w:t xml:space="preserve">With respect and belief,</w:t>
      </w:r>
    </w:p>
    <w:p>
      <w:pPr>
        <w:pStyle w:val="BodyText"/>
      </w:pPr>
    </w:p>
    <w:p>
      <w:pPr>
        <w:pStyle w:val="BodyText"/>
      </w:pPr>
      <w:r>
        <w:t xml:space="preserve">Leo</w:t>
      </w:r>
    </w:p>
    <w:p>
      <w:pPr>
        <w:pStyle w:val="BodyText"/>
      </w:pPr>
    </w:p>
    <w:p>
      <w:pPr>
        <w:pStyle w:val="BodyText"/>
      </w:pPr>
      <w:r>
        <w:t xml:space="preserve">—</w:t>
      </w:r>
    </w:p>
    <w:p>
      <w:pPr>
        <w:pStyle w:val="BodyText"/>
      </w:pPr>
      <w:r>
        <w:t xml:space="preserve">Appendix: Current public markers (as of today)</w:t>
      </w:r>
    </w:p>
    <w:p>
      <w:pPr>
        <w:pStyle w:val="BodyText"/>
      </w:pPr>
      <w:r>
        <w:t xml:space="preserve">• MXTK token (Arbitrum):</w:t>
      </w:r>
      <w:r>
        <w:t xml:space="preserve"> </w:t>
      </w:r>
      <w:hyperlink r:id="rId32">
        <w:r>
          <w:rPr>
            <w:rStyle w:val="Hyperlink"/>
          </w:rPr>
          <w:t xml:space="preserve">https://arbiscan.io/token/0x3e4Ffeb394B371AAaa0998488046Ca19d870d9Ba</w:t>
        </w:r>
      </w:hyperlink>
    </w:p>
    <w:p>
      <w:pPr>
        <w:pStyle w:val="BodyText"/>
      </w:pPr>
      <w:r>
        <w:t xml:space="preserve">• Uniswap v3 MXTK/USDT pool snapshot:</w:t>
      </w:r>
      <w:r>
        <w:t xml:space="preserve"> </w:t>
      </w:r>
      <w:hyperlink r:id="rId26">
        <w:r>
          <w:rPr>
            <w:rStyle w:val="Hyperlink"/>
          </w:rPr>
          <w:t xml:space="preserve">https://www.geckoterminal.com/arbitrum/pools/0xb2f92ab01d1bc42f4fde117a9ab46184af987b3b</w:t>
        </w:r>
      </w:hyperlink>
    </w:p>
    <w:p>
      <w:pPr>
        <w:pStyle w:val="BodyText"/>
      </w:pPr>
      <w:r>
        <w:t xml:space="preserve">• Uniswap v3 docs (for team reference):</w:t>
      </w:r>
      <w:r>
        <w:t xml:space="preserve"> </w:t>
      </w:r>
      <w:hyperlink r:id="rId27">
        <w:r>
          <w:rPr>
            <w:rStyle w:val="Hyperlink"/>
          </w:rPr>
          <w:t xml:space="preserve">https://docs.uniswap.org/contracts/v3/overview</w:t>
        </w:r>
      </w:hyperlink>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arbiscan.io/token/0x3e4Ffeb394B371AAaa0998488046Ca19d870d9Ba" TargetMode="External" /><Relationship Type="http://schemas.openxmlformats.org/officeDocument/2006/relationships/hyperlink" Id="rId38" Target="https://caselaw.findlaw.com/court/us-2nd-circuit/1883365.html" TargetMode="External" /><Relationship Type="http://schemas.openxmlformats.org/officeDocument/2006/relationships/hyperlink" Id="rId34" Target="https://consensys.net/diligence/" TargetMode="External" /><Relationship Type="http://schemas.openxmlformats.org/officeDocument/2006/relationships/hyperlink" Id="rId24" Target="https://docs.chain.link/" TargetMode="External" /><Relationship Type="http://schemas.openxmlformats.org/officeDocument/2006/relationships/hyperlink" Id="rId25" Target="https://docs.chain.link/data-feeds/proof-of-reserve" TargetMode="External" /><Relationship Type="http://schemas.openxmlformats.org/officeDocument/2006/relationships/hyperlink" Id="rId33" Target="https://docs.openzeppelin.com/contracts/4.x/api/governance#TimelockController" TargetMode="External" /><Relationship Type="http://schemas.openxmlformats.org/officeDocument/2006/relationships/hyperlink" Id="rId29" Target="https://docs.unicrypt.network/products/token-liquidity-locks/" TargetMode="External" /><Relationship Type="http://schemas.openxmlformats.org/officeDocument/2006/relationships/hyperlink" Id="rId27" Target="https://docs.uniswap.org/contracts/v3/overview" TargetMode="External" /><Relationship Type="http://schemas.openxmlformats.org/officeDocument/2006/relationships/hyperlink" Id="rId28" Target="https://docs.uniswap.org/sdk/v3/guides/liquidity/position-data" TargetMode="External" /><Relationship Type="http://schemas.openxmlformats.org/officeDocument/2006/relationships/hyperlink" Id="rId39" Target="https://jusmundi.com/en/document/decision/en-gramercy-funds-management-llc-and-gramercy-peru-holdings-llc-v-the-republic-of-peru-award-tuesday-6th-december-2022" TargetMode="External" /><Relationship Type="http://schemas.openxmlformats.org/officeDocument/2006/relationships/hyperlink" Id="rId42" Target="https://lda.senate.gov/system/public/" TargetMode="External" /><Relationship Type="http://schemas.openxmlformats.org/officeDocument/2006/relationships/hyperlink" Id="rId21" Target="https://mrmr.cim.org/media/1017/national-instrument-43-101.pdf" TargetMode="External" /><Relationship Type="http://schemas.openxmlformats.org/officeDocument/2006/relationships/hyperlink" Id="rId37" Target="https://support.coinmarketcap.com/hc/en-us/sections/360008888252-Metric-Methodologies" TargetMode="External" /><Relationship Type="http://schemas.openxmlformats.org/officeDocument/2006/relationships/hyperlink" Id="rId36" Target="https://www.coingecko.com/en/methodology" TargetMode="External" /><Relationship Type="http://schemas.openxmlformats.org/officeDocument/2006/relationships/hyperlink" Id="rId31" Target="https://www.fincen.gov/resources/statutes-regulations/guidance/application-fincens-regulations-persons-administering" TargetMode="External" /><Relationship Type="http://schemas.openxmlformats.org/officeDocument/2006/relationships/hyperlink" Id="rId26" Target="https://www.geckoterminal.com/arbitrum/pools/0xb2f92ab01d1bc42f4fde117a9ab46184af987b3b" TargetMode="External" /><Relationship Type="http://schemas.openxmlformats.org/officeDocument/2006/relationships/hyperlink" Id="rId23" Target="https://www.investopedia.com/terms/s/safekeeping-receipt.asp" TargetMode="External" /><Relationship Type="http://schemas.openxmlformats.org/officeDocument/2006/relationships/hyperlink" Id="rId22" Target="https://www.jorc.org/docs/JORC%20code%202012.pdf" TargetMode="External" /><Relationship Type="http://schemas.openxmlformats.org/officeDocument/2006/relationships/hyperlink" Id="rId43" Target="https://www.justice.gov/nsd-fara" TargetMode="External" /><Relationship Type="http://schemas.openxmlformats.org/officeDocument/2006/relationships/hyperlink" Id="rId41" Target="https://www.law.cornell.edu/uscode/text/28/1611" TargetMode="External" /><Relationship Type="http://schemas.openxmlformats.org/officeDocument/2006/relationships/hyperlink" Id="rId46" Target="https://www.mineral-token.com/" TargetMode="External" /><Relationship Type="http://schemas.openxmlformats.org/officeDocument/2006/relationships/hyperlink" Id="rId20" Target="https://www.osc.ca/en/securities-law/instruments-rules-policies/4/43-101/national-instrument-ni-43-101-standards-disclosure-mineral-projects-0" TargetMode="External" /><Relationship Type="http://schemas.openxmlformats.org/officeDocument/2006/relationships/hyperlink" Id="rId44" Target="https://www.sec.gov/about/divisions-offices/division-corporation-finance/framework-investment-contract-analysis-digital-assets" TargetMode="External" /><Relationship Type="http://schemas.openxmlformats.org/officeDocument/2006/relationships/hyperlink" Id="rId45" Target="https://www.sec.gov/files/dlt-framework.pdf" TargetMode="External" /><Relationship Type="http://schemas.openxmlformats.org/officeDocument/2006/relationships/hyperlink" Id="rId40" Target="https://www.state.gov/wp-content/uploads/2019/10/2018-Digest-Chapter-10.pdf" TargetMode="External" /><Relationship Type="http://schemas.openxmlformats.org/officeDocument/2006/relationships/hyperlink" Id="rId30" Target="https://www.team.finance/" TargetMode="External" /><Relationship Type="http://schemas.openxmlformats.org/officeDocument/2006/relationships/hyperlink" Id="rId35" Target="https://www.trailofbits.com/" TargetMode="External" /></Relationships>
</file>

<file path=word/_rels/footnotes.xml.rels><?xml version="1.0" encoding="UTF-8"?><Relationships xmlns="http://schemas.openxmlformats.org/package/2006/relationships"><Relationship Type="http://schemas.openxmlformats.org/officeDocument/2006/relationships/hyperlink" Id="rId32" Target="https://arbiscan.io/token/0x3e4Ffeb394B371AAaa0998488046Ca19d870d9Ba" TargetMode="External" /><Relationship Type="http://schemas.openxmlformats.org/officeDocument/2006/relationships/hyperlink" Id="rId38" Target="https://caselaw.findlaw.com/court/us-2nd-circuit/1883365.html" TargetMode="External" /><Relationship Type="http://schemas.openxmlformats.org/officeDocument/2006/relationships/hyperlink" Id="rId34" Target="https://consensys.net/diligence/" TargetMode="External" /><Relationship Type="http://schemas.openxmlformats.org/officeDocument/2006/relationships/hyperlink" Id="rId24" Target="https://docs.chain.link/" TargetMode="External" /><Relationship Type="http://schemas.openxmlformats.org/officeDocument/2006/relationships/hyperlink" Id="rId25" Target="https://docs.chain.link/data-feeds/proof-of-reserve" TargetMode="External" /><Relationship Type="http://schemas.openxmlformats.org/officeDocument/2006/relationships/hyperlink" Id="rId33" Target="https://docs.openzeppelin.com/contracts/4.x/api/governance#TimelockController" TargetMode="External" /><Relationship Type="http://schemas.openxmlformats.org/officeDocument/2006/relationships/hyperlink" Id="rId29" Target="https://docs.unicrypt.network/products/token-liquidity-locks/" TargetMode="External" /><Relationship Type="http://schemas.openxmlformats.org/officeDocument/2006/relationships/hyperlink" Id="rId27" Target="https://docs.uniswap.org/contracts/v3/overview" TargetMode="External" /><Relationship Type="http://schemas.openxmlformats.org/officeDocument/2006/relationships/hyperlink" Id="rId28" Target="https://docs.uniswap.org/sdk/v3/guides/liquidity/position-data" TargetMode="External" /><Relationship Type="http://schemas.openxmlformats.org/officeDocument/2006/relationships/hyperlink" Id="rId39" Target="https://jusmundi.com/en/document/decision/en-gramercy-funds-management-llc-and-gramercy-peru-holdings-llc-v-the-republic-of-peru-award-tuesday-6th-december-2022" TargetMode="External" /><Relationship Type="http://schemas.openxmlformats.org/officeDocument/2006/relationships/hyperlink" Id="rId42" Target="https://lda.senate.gov/system/public/" TargetMode="External" /><Relationship Type="http://schemas.openxmlformats.org/officeDocument/2006/relationships/hyperlink" Id="rId21" Target="https://mrmr.cim.org/media/1017/national-instrument-43-101.pdf" TargetMode="External" /><Relationship Type="http://schemas.openxmlformats.org/officeDocument/2006/relationships/hyperlink" Id="rId37" Target="https://support.coinmarketcap.com/hc/en-us/sections/360008888252-Metric-Methodologies" TargetMode="External" /><Relationship Type="http://schemas.openxmlformats.org/officeDocument/2006/relationships/hyperlink" Id="rId36" Target="https://www.coingecko.com/en/methodology" TargetMode="External" /><Relationship Type="http://schemas.openxmlformats.org/officeDocument/2006/relationships/hyperlink" Id="rId31" Target="https://www.fincen.gov/resources/statutes-regulations/guidance/application-fincens-regulations-persons-administering" TargetMode="External" /><Relationship Type="http://schemas.openxmlformats.org/officeDocument/2006/relationships/hyperlink" Id="rId26" Target="https://www.geckoterminal.com/arbitrum/pools/0xb2f92ab01d1bc42f4fde117a9ab46184af987b3b" TargetMode="External" /><Relationship Type="http://schemas.openxmlformats.org/officeDocument/2006/relationships/hyperlink" Id="rId23" Target="https://www.investopedia.com/terms/s/safekeeping-receipt.asp" TargetMode="External" /><Relationship Type="http://schemas.openxmlformats.org/officeDocument/2006/relationships/hyperlink" Id="rId22" Target="https://www.jorc.org/docs/JORC%20code%202012.pdf" TargetMode="External" /><Relationship Type="http://schemas.openxmlformats.org/officeDocument/2006/relationships/hyperlink" Id="rId43" Target="https://www.justice.gov/nsd-fara" TargetMode="External" /><Relationship Type="http://schemas.openxmlformats.org/officeDocument/2006/relationships/hyperlink" Id="rId41" Target="https://www.law.cornell.edu/uscode/text/28/1611" TargetMode="External" /><Relationship Type="http://schemas.openxmlformats.org/officeDocument/2006/relationships/hyperlink" Id="rId46" Target="https://www.mineral-token.com/" TargetMode="External" /><Relationship Type="http://schemas.openxmlformats.org/officeDocument/2006/relationships/hyperlink" Id="rId20" Target="https://www.osc.ca/en/securities-law/instruments-rules-policies/4/43-101/national-instrument-ni-43-101-standards-disclosure-mineral-projects-0" TargetMode="External" /><Relationship Type="http://schemas.openxmlformats.org/officeDocument/2006/relationships/hyperlink" Id="rId44" Target="https://www.sec.gov/about/divisions-offices/division-corporation-finance/framework-investment-contract-analysis-digital-assets" TargetMode="External" /><Relationship Type="http://schemas.openxmlformats.org/officeDocument/2006/relationships/hyperlink" Id="rId45" Target="https://www.sec.gov/files/dlt-framework.pdf" TargetMode="External" /><Relationship Type="http://schemas.openxmlformats.org/officeDocument/2006/relationships/hyperlink" Id="rId40" Target="https://www.state.gov/wp-content/uploads/2019/10/2018-Digest-Chapter-10.pdf" TargetMode="External" /><Relationship Type="http://schemas.openxmlformats.org/officeDocument/2006/relationships/hyperlink" Id="rId30" Target="https://www.team.finance/" TargetMode="External" /><Relationship Type="http://schemas.openxmlformats.org/officeDocument/2006/relationships/hyperlink" Id="rId35" Target="https://www.trailofbi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2025-08-14T17:18:16Z</dcterms:created>
  <dcterms:modified xsi:type="dcterms:W3CDTF">2025-08-14T17:18:16Z</dcterms:modified>
</cp:coreProperties>
</file>

<file path=docProps/custom.xml><?xml version="1.0" encoding="utf-8"?>
<Properties xmlns="http://schemas.openxmlformats.org/officeDocument/2006/custom-properties" xmlns:vt="http://schemas.openxmlformats.org/officeDocument/2006/docPropsVTypes"/>
</file>