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945A" w14:textId="77777777" w:rsidR="00102425" w:rsidRPr="00102425" w:rsidRDefault="00102425" w:rsidP="0010242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1024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ESCUELA SUPERIOR </w:t>
      </w:r>
      <w:proofErr w:type="spellStart"/>
      <w:r w:rsidRPr="001024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POLITÉCNICA</w:t>
      </w:r>
      <w:proofErr w:type="spellEnd"/>
      <w:r w:rsidRPr="001024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DEL </w:t>
      </w:r>
      <w:proofErr w:type="spellStart"/>
      <w:r w:rsidRPr="001024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LITORAL</w:t>
      </w:r>
      <w:proofErr w:type="spellEnd"/>
    </w:p>
    <w:p w14:paraId="35661943" w14:textId="77777777" w:rsidR="00102425" w:rsidRPr="00102425" w:rsidRDefault="00102425" w:rsidP="00102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1024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FACULTY OF ELECTRICAL AND COMPUTER ENGINEERING</w:t>
      </w:r>
    </w:p>
    <w:p w14:paraId="28E3EDA4" w14:textId="77777777" w:rsidR="00102425" w:rsidRPr="00102425" w:rsidRDefault="00102425" w:rsidP="00102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</w:pPr>
      <w:r w:rsidRPr="001024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SOFTWARE ENGINEERING</w:t>
      </w:r>
      <w:r w:rsidRPr="00102425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II</w:t>
      </w:r>
    </w:p>
    <w:p w14:paraId="4B207F4C" w14:textId="2673A321" w:rsidR="00102425" w:rsidRPr="00102425" w:rsidRDefault="00102425" w:rsidP="00102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>BOUNDARY VALUE TEST</w:t>
      </w:r>
      <w:r w:rsidRPr="00102425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WORKSHOP </w:t>
      </w:r>
      <w:r w:rsidRPr="001024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 I TERM 2021</w:t>
      </w:r>
    </w:p>
    <w:p w14:paraId="347D893C" w14:textId="77777777" w:rsidR="002F74B1" w:rsidRPr="00102425" w:rsidRDefault="002F74B1" w:rsidP="002F74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C1D7B0" w14:textId="0509B34C" w:rsidR="00E14B78" w:rsidRPr="009132B7" w:rsidRDefault="00A56E57" w:rsidP="0048741C">
      <w:pPr>
        <w:jc w:val="both"/>
        <w:rPr>
          <w:rFonts w:ascii="Times New Roman" w:hAnsi="Times New Roman" w:cs="Times New Roman"/>
          <w:lang w:val="en-US"/>
        </w:rPr>
      </w:pPr>
      <w:r w:rsidRPr="009132B7">
        <w:rPr>
          <w:rFonts w:ascii="Times New Roman" w:hAnsi="Times New Roman" w:cs="Times New Roman"/>
          <w:lang w:val="en-US"/>
        </w:rPr>
        <w:t xml:space="preserve">Suppose you are responsible for developing a university's rating system, which computes the final average and categorizes it as Excellent, Very Good, </w:t>
      </w:r>
      <w:r w:rsidR="00E53057" w:rsidRPr="009132B7">
        <w:rPr>
          <w:rFonts w:ascii="Times New Roman" w:hAnsi="Times New Roman" w:cs="Times New Roman"/>
          <w:lang w:val="en-US"/>
        </w:rPr>
        <w:t>Good</w:t>
      </w:r>
      <w:r w:rsidRPr="009132B7">
        <w:rPr>
          <w:rFonts w:ascii="Times New Roman" w:hAnsi="Times New Roman" w:cs="Times New Roman"/>
          <w:lang w:val="en-US"/>
        </w:rPr>
        <w:t xml:space="preserve">, </w:t>
      </w:r>
      <w:r w:rsidR="00DA3D83" w:rsidRPr="009132B7">
        <w:rPr>
          <w:rFonts w:ascii="Times New Roman" w:hAnsi="Times New Roman" w:cs="Times New Roman"/>
          <w:lang w:val="en-US"/>
        </w:rPr>
        <w:t>Satisfactory, Acceptable and</w:t>
      </w:r>
      <w:r w:rsidRPr="009132B7">
        <w:rPr>
          <w:rFonts w:ascii="Times New Roman" w:hAnsi="Times New Roman" w:cs="Times New Roman"/>
          <w:lang w:val="en-US"/>
        </w:rPr>
        <w:t xml:space="preserve"> Deficient</w:t>
      </w:r>
      <w:r w:rsidR="00316315" w:rsidRPr="009132B7">
        <w:rPr>
          <w:rFonts w:ascii="Times New Roman" w:hAnsi="Times New Roman" w:cs="Times New Roman"/>
          <w:lang w:val="en-US"/>
        </w:rPr>
        <w:t>. The system is</w:t>
      </w:r>
      <w:r w:rsidR="00DA3D83" w:rsidRPr="009132B7">
        <w:rPr>
          <w:rFonts w:ascii="Times New Roman" w:hAnsi="Times New Roman" w:cs="Times New Roman"/>
          <w:lang w:val="en-US"/>
        </w:rPr>
        <w:t xml:space="preserve"> based on the grades obtained by the student</w:t>
      </w:r>
      <w:r w:rsidR="001E4695" w:rsidRPr="009132B7">
        <w:rPr>
          <w:rFonts w:ascii="Times New Roman" w:hAnsi="Times New Roman" w:cs="Times New Roman"/>
          <w:lang w:val="en-US"/>
        </w:rPr>
        <w:t xml:space="preserve"> in</w:t>
      </w:r>
      <w:r w:rsidR="0048741C" w:rsidRPr="009132B7">
        <w:rPr>
          <w:rFonts w:ascii="Times New Roman" w:hAnsi="Times New Roman" w:cs="Times New Roman"/>
          <w:lang w:val="en-US"/>
        </w:rPr>
        <w:t xml:space="preserve"> </w:t>
      </w:r>
      <w:r w:rsidR="00316315" w:rsidRPr="009132B7">
        <w:rPr>
          <w:rFonts w:ascii="Times New Roman" w:hAnsi="Times New Roman" w:cs="Times New Roman"/>
          <w:lang w:val="en-US"/>
        </w:rPr>
        <w:t>his assessments (</w:t>
      </w:r>
      <w:r w:rsidR="001E4695" w:rsidRPr="009132B7">
        <w:rPr>
          <w:rFonts w:ascii="Times New Roman" w:hAnsi="Times New Roman" w:cs="Times New Roman"/>
          <w:lang w:val="en-US"/>
        </w:rPr>
        <w:t>first</w:t>
      </w:r>
      <w:r w:rsidR="00316315" w:rsidRPr="009132B7">
        <w:rPr>
          <w:rFonts w:ascii="Times New Roman" w:hAnsi="Times New Roman" w:cs="Times New Roman"/>
          <w:lang w:val="en-US"/>
        </w:rPr>
        <w:t xml:space="preserve"> and</w:t>
      </w:r>
      <w:r w:rsidR="005052F1" w:rsidRPr="009132B7">
        <w:rPr>
          <w:rFonts w:ascii="Times New Roman" w:hAnsi="Times New Roman" w:cs="Times New Roman"/>
          <w:lang w:val="en-US"/>
        </w:rPr>
        <w:t xml:space="preserve"> </w:t>
      </w:r>
      <w:r w:rsidRPr="009132B7">
        <w:rPr>
          <w:rFonts w:ascii="Times New Roman" w:hAnsi="Times New Roman" w:cs="Times New Roman"/>
          <w:lang w:val="en-US"/>
        </w:rPr>
        <w:t xml:space="preserve">second </w:t>
      </w:r>
      <w:r w:rsidR="00440B73" w:rsidRPr="009132B7">
        <w:rPr>
          <w:rStyle w:val="ts-alignment-element"/>
          <w:rFonts w:ascii="Times New Roman" w:hAnsi="Times New Roman" w:cs="Times New Roman"/>
          <w:sz w:val="21"/>
          <w:szCs w:val="21"/>
          <w:lang w:val="en"/>
        </w:rPr>
        <w:t>assessments</w:t>
      </w:r>
      <w:r w:rsidR="00316315" w:rsidRPr="009132B7">
        <w:rPr>
          <w:rStyle w:val="ts-alignment-element"/>
          <w:rFonts w:ascii="Times New Roman" w:hAnsi="Times New Roman" w:cs="Times New Roman"/>
          <w:sz w:val="21"/>
          <w:szCs w:val="21"/>
          <w:lang w:val="en"/>
        </w:rPr>
        <w:t>)</w:t>
      </w:r>
      <w:r w:rsidR="00440B73" w:rsidRPr="009132B7">
        <w:rPr>
          <w:rStyle w:val="ts-alignment-element"/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="005052F1" w:rsidRPr="009132B7">
        <w:rPr>
          <w:rStyle w:val="ts-alignment-element"/>
          <w:rFonts w:ascii="Times New Roman" w:hAnsi="Times New Roman" w:cs="Times New Roman"/>
          <w:sz w:val="21"/>
          <w:szCs w:val="21"/>
          <w:lang w:val="en"/>
        </w:rPr>
        <w:t xml:space="preserve">and </w:t>
      </w:r>
      <w:r w:rsidR="00316315" w:rsidRPr="009132B7">
        <w:rPr>
          <w:rStyle w:val="ts-alignment-element"/>
          <w:rFonts w:ascii="Times New Roman" w:hAnsi="Times New Roman" w:cs="Times New Roman"/>
          <w:sz w:val="21"/>
          <w:szCs w:val="21"/>
          <w:lang w:val="en"/>
        </w:rPr>
        <w:t xml:space="preserve">the </w:t>
      </w:r>
      <w:r w:rsidR="005052F1" w:rsidRPr="009132B7">
        <w:rPr>
          <w:rStyle w:val="ts-alignment-element"/>
          <w:rFonts w:ascii="Times New Roman" w:hAnsi="Times New Roman" w:cs="Times New Roman"/>
          <w:sz w:val="21"/>
          <w:szCs w:val="21"/>
          <w:lang w:val="en"/>
        </w:rPr>
        <w:t xml:space="preserve">practical component </w:t>
      </w:r>
      <w:r w:rsidR="0037639A" w:rsidRPr="009132B7">
        <w:rPr>
          <w:rFonts w:ascii="Times New Roman" w:hAnsi="Times New Roman" w:cs="Times New Roman"/>
          <w:lang w:val="en-US"/>
        </w:rPr>
        <w:t>(See Table 1).</w:t>
      </w:r>
      <w:r w:rsidR="00400AA9" w:rsidRPr="009132B7">
        <w:rPr>
          <w:rFonts w:ascii="Times New Roman" w:hAnsi="Times New Roman" w:cs="Times New Roman"/>
          <w:lang w:val="en-US"/>
        </w:rPr>
        <w:t xml:space="preserve"> </w:t>
      </w:r>
      <w:r w:rsidR="00316315" w:rsidRPr="009132B7">
        <w:rPr>
          <w:rFonts w:ascii="Times New Roman" w:hAnsi="Times New Roman" w:cs="Times New Roman"/>
          <w:lang w:val="en-US"/>
        </w:rPr>
        <w:t>In addition</w:t>
      </w:r>
      <w:r w:rsidR="00280F60" w:rsidRPr="009132B7">
        <w:rPr>
          <w:rFonts w:ascii="Times New Roman" w:hAnsi="Times New Roman" w:cs="Times New Roman"/>
          <w:lang w:val="en-US"/>
        </w:rPr>
        <w:t xml:space="preserve">, if a third grade is entered, </w:t>
      </w:r>
      <w:r w:rsidR="00316315" w:rsidRPr="009132B7">
        <w:rPr>
          <w:rFonts w:ascii="Times New Roman" w:hAnsi="Times New Roman" w:cs="Times New Roman"/>
          <w:lang w:val="en-US"/>
        </w:rPr>
        <w:t>this</w:t>
      </w:r>
      <w:r w:rsidR="00280F60" w:rsidRPr="009132B7">
        <w:rPr>
          <w:rFonts w:ascii="Times New Roman" w:hAnsi="Times New Roman" w:cs="Times New Roman"/>
          <w:lang w:val="en-US"/>
        </w:rPr>
        <w:t xml:space="preserve"> will replace the lowest </w:t>
      </w:r>
      <w:r w:rsidR="00316315" w:rsidRPr="009132B7">
        <w:rPr>
          <w:rFonts w:ascii="Times New Roman" w:hAnsi="Times New Roman" w:cs="Times New Roman"/>
          <w:lang w:val="en-US"/>
        </w:rPr>
        <w:t xml:space="preserve">assessment </w:t>
      </w:r>
      <w:r w:rsidR="00280F60" w:rsidRPr="009132B7">
        <w:rPr>
          <w:rFonts w:ascii="Times New Roman" w:hAnsi="Times New Roman" w:cs="Times New Roman"/>
          <w:lang w:val="en-US"/>
        </w:rPr>
        <w:t>grade.</w:t>
      </w:r>
      <w:r w:rsidR="0037639A" w:rsidRPr="009132B7">
        <w:rPr>
          <w:rFonts w:ascii="Times New Roman" w:hAnsi="Times New Roman" w:cs="Times New Roman"/>
          <w:lang w:val="en-US"/>
        </w:rPr>
        <w:t xml:space="preserve"> </w:t>
      </w:r>
    </w:p>
    <w:p w14:paraId="270A8DDA" w14:textId="6CA4E59A" w:rsidR="0056695A" w:rsidRPr="009132B7" w:rsidRDefault="00B86333" w:rsidP="00A32A62">
      <w:pPr>
        <w:jc w:val="both"/>
        <w:rPr>
          <w:rFonts w:ascii="Times New Roman" w:hAnsi="Times New Roman" w:cs="Times New Roman"/>
          <w:lang w:val="en-US"/>
        </w:rPr>
      </w:pPr>
      <w:r w:rsidRPr="009132B7">
        <w:rPr>
          <w:rFonts w:ascii="Times New Roman" w:hAnsi="Times New Roman" w:cs="Times New Roman"/>
          <w:lang w:val="en-US"/>
        </w:rPr>
        <w:t xml:space="preserve">Only grades between 0 and 10 are allowed. Numbers with </w:t>
      </w:r>
      <w:r w:rsidR="003E58C0" w:rsidRPr="009132B7">
        <w:rPr>
          <w:rFonts w:ascii="Times New Roman" w:hAnsi="Times New Roman" w:cs="Times New Roman"/>
          <w:lang w:val="en-US"/>
        </w:rPr>
        <w:t xml:space="preserve">up to two </w:t>
      </w:r>
      <w:r w:rsidRPr="009132B7">
        <w:rPr>
          <w:rFonts w:ascii="Times New Roman" w:hAnsi="Times New Roman" w:cs="Times New Roman"/>
          <w:lang w:val="en-US"/>
        </w:rPr>
        <w:t xml:space="preserve">decimal </w:t>
      </w:r>
      <w:r w:rsidR="003E58C0" w:rsidRPr="009132B7">
        <w:rPr>
          <w:rFonts w:ascii="Times New Roman" w:hAnsi="Times New Roman" w:cs="Times New Roman"/>
          <w:lang w:val="en-US"/>
        </w:rPr>
        <w:t>p</w:t>
      </w:r>
      <w:r w:rsidR="00E55863" w:rsidRPr="009132B7">
        <w:rPr>
          <w:rFonts w:ascii="Times New Roman" w:hAnsi="Times New Roman" w:cs="Times New Roman"/>
          <w:lang w:val="en-US"/>
        </w:rPr>
        <w:t>la</w:t>
      </w:r>
      <w:r w:rsidR="003E58C0" w:rsidRPr="009132B7">
        <w:rPr>
          <w:rFonts w:ascii="Times New Roman" w:hAnsi="Times New Roman" w:cs="Times New Roman"/>
          <w:lang w:val="en-US"/>
        </w:rPr>
        <w:t>ces</w:t>
      </w:r>
      <w:r w:rsidRPr="009132B7">
        <w:rPr>
          <w:rFonts w:ascii="Times New Roman" w:hAnsi="Times New Roman" w:cs="Times New Roman"/>
          <w:lang w:val="en-US"/>
        </w:rPr>
        <w:t xml:space="preserve"> are accepted</w:t>
      </w:r>
    </w:p>
    <w:p w14:paraId="4D921710" w14:textId="1D939789" w:rsidR="00D065D6" w:rsidRPr="009132B7" w:rsidRDefault="00D065D6" w:rsidP="00D065D6">
      <w:pPr>
        <w:rPr>
          <w:rFonts w:ascii="Times New Roman" w:hAnsi="Times New Roman" w:cs="Times New Roman"/>
          <w:lang w:val="en-US"/>
        </w:rPr>
      </w:pPr>
      <w:r w:rsidRPr="009132B7">
        <w:rPr>
          <w:rFonts w:ascii="Times New Roman" w:hAnsi="Times New Roman" w:cs="Times New Roman"/>
          <w:lang w:val="en-US"/>
        </w:rPr>
        <w:t>The final grade is calculated using the following formula:</w:t>
      </w:r>
    </w:p>
    <w:p w14:paraId="42291426" w14:textId="1EFA3BCC" w:rsidR="00D065D6" w:rsidRPr="009132B7" w:rsidRDefault="009A7C5D" w:rsidP="00046CC7">
      <w:pPr>
        <w:jc w:val="center"/>
        <w:rPr>
          <w:rFonts w:ascii="Times New Roman" w:hAnsi="Times New Roman" w:cs="Times New Roman"/>
          <w:lang w:val="en-US"/>
        </w:rPr>
      </w:pPr>
      <w:r w:rsidRPr="009132B7">
        <w:rPr>
          <w:rFonts w:ascii="Times New Roman" w:hAnsi="Times New Roman" w:cs="Times New Roman"/>
          <w:lang w:val="en-US"/>
        </w:rPr>
        <w:t xml:space="preserve">Final grade = </w:t>
      </w:r>
      <w:r w:rsidR="00521ECA" w:rsidRPr="009132B7">
        <w:rPr>
          <w:rFonts w:ascii="Times New Roman" w:hAnsi="Times New Roman" w:cs="Times New Roman"/>
          <w:lang w:val="en-US"/>
        </w:rPr>
        <w:t>(</w:t>
      </w:r>
      <w:r w:rsidR="00C904E2" w:rsidRPr="009132B7">
        <w:rPr>
          <w:rFonts w:ascii="Times New Roman" w:hAnsi="Times New Roman" w:cs="Times New Roman"/>
          <w:lang w:val="en-US"/>
        </w:rPr>
        <w:t>(</w:t>
      </w:r>
      <w:r w:rsidRPr="009132B7">
        <w:rPr>
          <w:rFonts w:ascii="Times New Roman" w:hAnsi="Times New Roman" w:cs="Times New Roman"/>
          <w:lang w:val="en-US"/>
        </w:rPr>
        <w:t>1</w:t>
      </w:r>
      <w:r w:rsidRPr="009132B7">
        <w:rPr>
          <w:rFonts w:ascii="Times New Roman" w:hAnsi="Times New Roman" w:cs="Times New Roman"/>
          <w:vertAlign w:val="superscript"/>
          <w:lang w:val="en-US"/>
        </w:rPr>
        <w:t>st</w:t>
      </w:r>
      <w:r w:rsidRPr="009132B7">
        <w:rPr>
          <w:rFonts w:ascii="Times New Roman" w:hAnsi="Times New Roman" w:cs="Times New Roman"/>
          <w:lang w:val="en-US"/>
        </w:rPr>
        <w:t xml:space="preserve"> </w:t>
      </w:r>
      <w:r w:rsidR="00843A28" w:rsidRPr="009132B7">
        <w:rPr>
          <w:rFonts w:ascii="Times New Roman" w:hAnsi="Times New Roman" w:cs="Times New Roman"/>
          <w:lang w:val="en-US"/>
        </w:rPr>
        <w:t>best</w:t>
      </w:r>
      <w:r w:rsidR="003A117E" w:rsidRPr="009132B7">
        <w:rPr>
          <w:rFonts w:ascii="Times New Roman" w:hAnsi="Times New Roman" w:cs="Times New Roman"/>
          <w:lang w:val="en-US"/>
        </w:rPr>
        <w:t xml:space="preserve"> </w:t>
      </w:r>
      <w:r w:rsidRPr="009132B7">
        <w:rPr>
          <w:rFonts w:ascii="Times New Roman" w:hAnsi="Times New Roman" w:cs="Times New Roman"/>
          <w:lang w:val="en-US"/>
        </w:rPr>
        <w:t>grade + 2</w:t>
      </w:r>
      <w:r w:rsidRPr="009132B7">
        <w:rPr>
          <w:rFonts w:ascii="Times New Roman" w:hAnsi="Times New Roman" w:cs="Times New Roman"/>
          <w:vertAlign w:val="superscript"/>
          <w:lang w:val="en-US"/>
        </w:rPr>
        <w:t>nd</w:t>
      </w:r>
      <w:r w:rsidRPr="009132B7">
        <w:rPr>
          <w:rFonts w:ascii="Times New Roman" w:hAnsi="Times New Roman" w:cs="Times New Roman"/>
          <w:lang w:val="en-US"/>
        </w:rPr>
        <w:t xml:space="preserve"> </w:t>
      </w:r>
      <w:r w:rsidR="00843A28" w:rsidRPr="009132B7">
        <w:rPr>
          <w:rFonts w:ascii="Times New Roman" w:hAnsi="Times New Roman" w:cs="Times New Roman"/>
          <w:lang w:val="en-US"/>
        </w:rPr>
        <w:t xml:space="preserve">best </w:t>
      </w:r>
      <w:r w:rsidR="003A117E" w:rsidRPr="009132B7">
        <w:rPr>
          <w:rFonts w:ascii="Times New Roman" w:hAnsi="Times New Roman" w:cs="Times New Roman"/>
          <w:lang w:val="en-US"/>
        </w:rPr>
        <w:t>grade</w:t>
      </w:r>
      <w:r w:rsidR="00C904E2" w:rsidRPr="009132B7">
        <w:rPr>
          <w:rFonts w:ascii="Times New Roman" w:hAnsi="Times New Roman" w:cs="Times New Roman"/>
          <w:lang w:val="en-US"/>
        </w:rPr>
        <w:t>)</w:t>
      </w:r>
      <w:r w:rsidR="00521ECA" w:rsidRPr="009132B7">
        <w:rPr>
          <w:rFonts w:ascii="Times New Roman" w:hAnsi="Times New Roman" w:cs="Times New Roman"/>
          <w:lang w:val="en-US"/>
        </w:rPr>
        <w:t>/2)*0.75 + (practical grade*0.25</w:t>
      </w:r>
      <w:r w:rsidR="00776E51" w:rsidRPr="009132B7">
        <w:rPr>
          <w:rFonts w:ascii="Times New Roman" w:hAnsi="Times New Roman" w:cs="Times New Roman"/>
          <w:lang w:val="en-US"/>
        </w:rPr>
        <w:t>)</w:t>
      </w:r>
    </w:p>
    <w:p w14:paraId="6489EAF0" w14:textId="77777777" w:rsidR="00C71CC7" w:rsidRPr="009132B7" w:rsidRDefault="00C71CC7" w:rsidP="00046CC7">
      <w:pPr>
        <w:jc w:val="center"/>
        <w:rPr>
          <w:rFonts w:ascii="Times New Roman" w:hAnsi="Times New Roman" w:cs="Times New Roman"/>
          <w:lang w:val="en-US"/>
        </w:rPr>
      </w:pPr>
    </w:p>
    <w:p w14:paraId="467C3D19" w14:textId="7C727226" w:rsidR="00DA3D83" w:rsidRPr="009132B7" w:rsidRDefault="0056695A" w:rsidP="0056695A">
      <w:pPr>
        <w:jc w:val="center"/>
        <w:rPr>
          <w:rFonts w:ascii="Times New Roman" w:hAnsi="Times New Roman" w:cs="Times New Roman"/>
          <w:lang w:val="en-US"/>
        </w:rPr>
      </w:pPr>
      <w:r w:rsidRPr="009132B7">
        <w:rPr>
          <w:rFonts w:ascii="Times New Roman" w:hAnsi="Times New Roman" w:cs="Times New Roman"/>
          <w:lang w:val="en-US"/>
        </w:rPr>
        <w:t>Table 1: Average equivalence table.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A318B2" w:rsidRPr="009132B7" w14:paraId="2988CA5B" w14:textId="77777777" w:rsidTr="001A5F7C">
        <w:trPr>
          <w:jc w:val="center"/>
        </w:trPr>
        <w:tc>
          <w:tcPr>
            <w:tcW w:w="2831" w:type="dxa"/>
            <w:shd w:val="clear" w:color="auto" w:fill="D0CECE" w:themeFill="background2" w:themeFillShade="E6"/>
          </w:tcPr>
          <w:p w14:paraId="51C24CC1" w14:textId="2407DEE8" w:rsidR="00A318B2" w:rsidRPr="009132B7" w:rsidRDefault="00A318B2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Grade range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607591D" w14:textId="0F40B0B7" w:rsidR="00A318B2" w:rsidRPr="009132B7" w:rsidRDefault="00B74CEB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Equivalence</w:t>
            </w:r>
          </w:p>
        </w:tc>
      </w:tr>
      <w:tr w:rsidR="00A318B2" w:rsidRPr="009132B7" w14:paraId="38C64348" w14:textId="77777777" w:rsidTr="00A318B2">
        <w:trPr>
          <w:jc w:val="center"/>
        </w:trPr>
        <w:tc>
          <w:tcPr>
            <w:tcW w:w="2831" w:type="dxa"/>
          </w:tcPr>
          <w:p w14:paraId="7FC7CD70" w14:textId="68806102" w:rsidR="00A318B2" w:rsidRPr="009132B7" w:rsidRDefault="00B74CEB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 xml:space="preserve">9.00 </w:t>
            </w:r>
            <w:r w:rsidR="00776A81" w:rsidRPr="009132B7">
              <w:rPr>
                <w:rFonts w:ascii="Times New Roman" w:hAnsi="Times New Roman" w:cs="Times New Roman"/>
                <w:lang w:val="en-US"/>
              </w:rPr>
              <w:t>to</w:t>
            </w:r>
            <w:r w:rsidRPr="009132B7">
              <w:rPr>
                <w:rFonts w:ascii="Times New Roman" w:hAnsi="Times New Roman" w:cs="Times New Roman"/>
                <w:lang w:val="en-US"/>
              </w:rPr>
              <w:t xml:space="preserve"> 10.00</w:t>
            </w:r>
          </w:p>
        </w:tc>
        <w:tc>
          <w:tcPr>
            <w:tcW w:w="2831" w:type="dxa"/>
          </w:tcPr>
          <w:p w14:paraId="2F21445D" w14:textId="5A3BB1C5" w:rsidR="00A318B2" w:rsidRPr="009132B7" w:rsidRDefault="00A07174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</w:tr>
      <w:tr w:rsidR="00A318B2" w:rsidRPr="009132B7" w14:paraId="14BC7C9C" w14:textId="77777777" w:rsidTr="00A318B2">
        <w:trPr>
          <w:jc w:val="center"/>
        </w:trPr>
        <w:tc>
          <w:tcPr>
            <w:tcW w:w="2831" w:type="dxa"/>
          </w:tcPr>
          <w:p w14:paraId="290FFBBF" w14:textId="4449CECF" w:rsidR="00A318B2" w:rsidRPr="009132B7" w:rsidRDefault="00B74CEB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 xml:space="preserve">8.00 </w:t>
            </w:r>
            <w:r w:rsidR="00776A81" w:rsidRPr="009132B7">
              <w:rPr>
                <w:rFonts w:ascii="Times New Roman" w:hAnsi="Times New Roman" w:cs="Times New Roman"/>
                <w:lang w:val="en-US"/>
              </w:rPr>
              <w:t>to</w:t>
            </w:r>
            <w:r w:rsidRPr="009132B7">
              <w:rPr>
                <w:rFonts w:ascii="Times New Roman" w:hAnsi="Times New Roman" w:cs="Times New Roman"/>
                <w:lang w:val="en-US"/>
              </w:rPr>
              <w:t xml:space="preserve"> 8.99</w:t>
            </w:r>
          </w:p>
        </w:tc>
        <w:tc>
          <w:tcPr>
            <w:tcW w:w="2831" w:type="dxa"/>
          </w:tcPr>
          <w:p w14:paraId="65399903" w14:textId="325A6B90" w:rsidR="00A318B2" w:rsidRPr="009132B7" w:rsidRDefault="00A07174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Very Good</w:t>
            </w:r>
          </w:p>
        </w:tc>
      </w:tr>
      <w:tr w:rsidR="00A318B2" w:rsidRPr="009132B7" w14:paraId="7269D6F5" w14:textId="77777777" w:rsidTr="00A318B2">
        <w:trPr>
          <w:jc w:val="center"/>
        </w:trPr>
        <w:tc>
          <w:tcPr>
            <w:tcW w:w="2831" w:type="dxa"/>
          </w:tcPr>
          <w:p w14:paraId="1E053BB9" w14:textId="076E8F13" w:rsidR="00A318B2" w:rsidRPr="009132B7" w:rsidRDefault="00B74CEB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 xml:space="preserve">7.00 </w:t>
            </w:r>
            <w:r w:rsidR="00776A81" w:rsidRPr="009132B7">
              <w:rPr>
                <w:rFonts w:ascii="Times New Roman" w:hAnsi="Times New Roman" w:cs="Times New Roman"/>
                <w:lang w:val="en-US"/>
              </w:rPr>
              <w:t>to</w:t>
            </w:r>
            <w:r w:rsidRPr="009132B7">
              <w:rPr>
                <w:rFonts w:ascii="Times New Roman" w:hAnsi="Times New Roman" w:cs="Times New Roman"/>
                <w:lang w:val="en-US"/>
              </w:rPr>
              <w:t xml:space="preserve"> 7.99</w:t>
            </w:r>
          </w:p>
        </w:tc>
        <w:tc>
          <w:tcPr>
            <w:tcW w:w="2831" w:type="dxa"/>
          </w:tcPr>
          <w:p w14:paraId="49D0F3E2" w14:textId="024D21E6" w:rsidR="00A318B2" w:rsidRPr="009132B7" w:rsidRDefault="00A07174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Good</w:t>
            </w:r>
          </w:p>
        </w:tc>
      </w:tr>
      <w:tr w:rsidR="00A318B2" w:rsidRPr="009132B7" w14:paraId="63168844" w14:textId="77777777" w:rsidTr="00A318B2">
        <w:trPr>
          <w:jc w:val="center"/>
        </w:trPr>
        <w:tc>
          <w:tcPr>
            <w:tcW w:w="2831" w:type="dxa"/>
          </w:tcPr>
          <w:p w14:paraId="61686F83" w14:textId="05C0881C" w:rsidR="00A318B2" w:rsidRPr="009132B7" w:rsidRDefault="00685217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6.50 to 6.99</w:t>
            </w:r>
          </w:p>
        </w:tc>
        <w:tc>
          <w:tcPr>
            <w:tcW w:w="2831" w:type="dxa"/>
          </w:tcPr>
          <w:p w14:paraId="7E8ACDD3" w14:textId="435EEB32" w:rsidR="00A318B2" w:rsidRPr="009132B7" w:rsidRDefault="00A07174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Satisfactory</w:t>
            </w:r>
          </w:p>
        </w:tc>
      </w:tr>
      <w:tr w:rsidR="00A318B2" w:rsidRPr="009132B7" w14:paraId="6ADF1E5C" w14:textId="77777777" w:rsidTr="00A318B2">
        <w:trPr>
          <w:jc w:val="center"/>
        </w:trPr>
        <w:tc>
          <w:tcPr>
            <w:tcW w:w="2831" w:type="dxa"/>
          </w:tcPr>
          <w:p w14:paraId="727671DD" w14:textId="75FC4E0B" w:rsidR="00A318B2" w:rsidRPr="009132B7" w:rsidRDefault="00685217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6.00 to 6.49</w:t>
            </w:r>
          </w:p>
        </w:tc>
        <w:tc>
          <w:tcPr>
            <w:tcW w:w="2831" w:type="dxa"/>
          </w:tcPr>
          <w:p w14:paraId="44FB3155" w14:textId="334C231B" w:rsidR="00A318B2" w:rsidRPr="009132B7" w:rsidRDefault="00A07174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Acceptable</w:t>
            </w:r>
          </w:p>
        </w:tc>
      </w:tr>
      <w:tr w:rsidR="00A07174" w:rsidRPr="009132B7" w14:paraId="0A18C207" w14:textId="77777777" w:rsidTr="00A318B2">
        <w:trPr>
          <w:jc w:val="center"/>
        </w:trPr>
        <w:tc>
          <w:tcPr>
            <w:tcW w:w="2831" w:type="dxa"/>
          </w:tcPr>
          <w:p w14:paraId="7A2728C9" w14:textId="3A5CC2E3" w:rsidR="00A07174" w:rsidRPr="009132B7" w:rsidRDefault="00A07174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Less than 6.00</w:t>
            </w:r>
          </w:p>
        </w:tc>
        <w:tc>
          <w:tcPr>
            <w:tcW w:w="2831" w:type="dxa"/>
          </w:tcPr>
          <w:p w14:paraId="4B54AA5E" w14:textId="6B375553" w:rsidR="00A07174" w:rsidRPr="009132B7" w:rsidRDefault="0092657E" w:rsidP="00566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32B7">
              <w:rPr>
                <w:rFonts w:ascii="Times New Roman" w:hAnsi="Times New Roman" w:cs="Times New Roman"/>
                <w:lang w:val="en-US"/>
              </w:rPr>
              <w:t>Fail</w:t>
            </w:r>
            <w:r w:rsidR="005207B6" w:rsidRPr="009132B7">
              <w:rPr>
                <w:rFonts w:ascii="Times New Roman" w:hAnsi="Times New Roman" w:cs="Times New Roman"/>
                <w:lang w:val="en-US"/>
              </w:rPr>
              <w:t>ed</w:t>
            </w:r>
          </w:p>
        </w:tc>
      </w:tr>
    </w:tbl>
    <w:p w14:paraId="0407B896" w14:textId="77777777" w:rsidR="005758A2" w:rsidRPr="009132B7" w:rsidRDefault="005758A2" w:rsidP="005501F0">
      <w:pPr>
        <w:rPr>
          <w:rFonts w:ascii="Times New Roman" w:hAnsi="Times New Roman" w:cs="Times New Roman"/>
          <w:lang w:val="en-US"/>
        </w:rPr>
      </w:pPr>
    </w:p>
    <w:p w14:paraId="6697EFCE" w14:textId="1E7AE729" w:rsidR="006754E1" w:rsidRPr="009132B7" w:rsidRDefault="00352B06" w:rsidP="006754E1">
      <w:pPr>
        <w:rPr>
          <w:rFonts w:ascii="Times New Roman" w:hAnsi="Times New Roman" w:cs="Times New Roman"/>
          <w:lang w:val="en-US"/>
        </w:rPr>
      </w:pPr>
      <w:r w:rsidRPr="009132B7">
        <w:rPr>
          <w:rFonts w:ascii="Times New Roman" w:hAnsi="Times New Roman" w:cs="Times New Roman"/>
          <w:lang w:val="en-US"/>
        </w:rPr>
        <w:t xml:space="preserve">Develop a test plan using </w:t>
      </w:r>
      <w:r w:rsidR="00EF18FD" w:rsidRPr="009132B7">
        <w:rPr>
          <w:rFonts w:ascii="Times New Roman" w:hAnsi="Times New Roman" w:cs="Times New Roman"/>
          <w:lang w:val="en-US"/>
        </w:rPr>
        <w:t>Robust Boundary Value testing</w:t>
      </w:r>
      <w:r w:rsidRPr="009132B7">
        <w:rPr>
          <w:rFonts w:ascii="Times New Roman" w:hAnsi="Times New Roman" w:cs="Times New Roman"/>
          <w:lang w:val="en-US"/>
        </w:rPr>
        <w:t>.</w:t>
      </w:r>
    </w:p>
    <w:sectPr w:rsidR="006754E1" w:rsidRPr="009132B7" w:rsidSect="00A24FE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5"/>
    <w:rsid w:val="0000655C"/>
    <w:rsid w:val="0001221B"/>
    <w:rsid w:val="00046CC7"/>
    <w:rsid w:val="0005477C"/>
    <w:rsid w:val="000B32CC"/>
    <w:rsid w:val="000E1EA9"/>
    <w:rsid w:val="000F7A14"/>
    <w:rsid w:val="00102425"/>
    <w:rsid w:val="00110223"/>
    <w:rsid w:val="00111A68"/>
    <w:rsid w:val="00132D94"/>
    <w:rsid w:val="00180B53"/>
    <w:rsid w:val="00196E5E"/>
    <w:rsid w:val="001A5F7C"/>
    <w:rsid w:val="001D7459"/>
    <w:rsid w:val="001E4695"/>
    <w:rsid w:val="001F402E"/>
    <w:rsid w:val="002413EA"/>
    <w:rsid w:val="002570AB"/>
    <w:rsid w:val="00270A94"/>
    <w:rsid w:val="00280F60"/>
    <w:rsid w:val="002831FD"/>
    <w:rsid w:val="00293EAE"/>
    <w:rsid w:val="002A27DE"/>
    <w:rsid w:val="002C7067"/>
    <w:rsid w:val="002E4DFF"/>
    <w:rsid w:val="002F74B1"/>
    <w:rsid w:val="003048AE"/>
    <w:rsid w:val="00316315"/>
    <w:rsid w:val="00347641"/>
    <w:rsid w:val="00352B06"/>
    <w:rsid w:val="00367300"/>
    <w:rsid w:val="00373711"/>
    <w:rsid w:val="0037639A"/>
    <w:rsid w:val="003A117E"/>
    <w:rsid w:val="003B7FB1"/>
    <w:rsid w:val="003C0798"/>
    <w:rsid w:val="003E58C0"/>
    <w:rsid w:val="003F43DF"/>
    <w:rsid w:val="00400AA9"/>
    <w:rsid w:val="00402BBC"/>
    <w:rsid w:val="00412A9B"/>
    <w:rsid w:val="004247C9"/>
    <w:rsid w:val="00440B73"/>
    <w:rsid w:val="0048741C"/>
    <w:rsid w:val="004A19DD"/>
    <w:rsid w:val="004E0AF8"/>
    <w:rsid w:val="0050081D"/>
    <w:rsid w:val="005052F1"/>
    <w:rsid w:val="005207B6"/>
    <w:rsid w:val="00521ECA"/>
    <w:rsid w:val="005431C7"/>
    <w:rsid w:val="005501F0"/>
    <w:rsid w:val="00557DF1"/>
    <w:rsid w:val="0056695A"/>
    <w:rsid w:val="005758A2"/>
    <w:rsid w:val="00585E49"/>
    <w:rsid w:val="00594AD4"/>
    <w:rsid w:val="005E5B63"/>
    <w:rsid w:val="00632896"/>
    <w:rsid w:val="0064381D"/>
    <w:rsid w:val="006754E1"/>
    <w:rsid w:val="00683E36"/>
    <w:rsid w:val="00685217"/>
    <w:rsid w:val="00695E0C"/>
    <w:rsid w:val="006A548A"/>
    <w:rsid w:val="006A7353"/>
    <w:rsid w:val="006C2563"/>
    <w:rsid w:val="006D67E6"/>
    <w:rsid w:val="006D7917"/>
    <w:rsid w:val="006F2AB5"/>
    <w:rsid w:val="007023D3"/>
    <w:rsid w:val="007224B8"/>
    <w:rsid w:val="00733BA8"/>
    <w:rsid w:val="00765E11"/>
    <w:rsid w:val="00776A81"/>
    <w:rsid w:val="00776E51"/>
    <w:rsid w:val="00810552"/>
    <w:rsid w:val="00821626"/>
    <w:rsid w:val="00843A28"/>
    <w:rsid w:val="008A678F"/>
    <w:rsid w:val="008C0F3E"/>
    <w:rsid w:val="009132B7"/>
    <w:rsid w:val="00915407"/>
    <w:rsid w:val="00917A34"/>
    <w:rsid w:val="0092657E"/>
    <w:rsid w:val="009A7C5D"/>
    <w:rsid w:val="009B6B1E"/>
    <w:rsid w:val="009E2D59"/>
    <w:rsid w:val="009F5D72"/>
    <w:rsid w:val="00A0185E"/>
    <w:rsid w:val="00A07174"/>
    <w:rsid w:val="00A155EF"/>
    <w:rsid w:val="00A2404C"/>
    <w:rsid w:val="00A24FEF"/>
    <w:rsid w:val="00A318B2"/>
    <w:rsid w:val="00A56E57"/>
    <w:rsid w:val="00A77031"/>
    <w:rsid w:val="00A928A6"/>
    <w:rsid w:val="00AB0A8F"/>
    <w:rsid w:val="00AD1AF2"/>
    <w:rsid w:val="00AD70BA"/>
    <w:rsid w:val="00AE0424"/>
    <w:rsid w:val="00AF1D3F"/>
    <w:rsid w:val="00B10906"/>
    <w:rsid w:val="00B24705"/>
    <w:rsid w:val="00B50D75"/>
    <w:rsid w:val="00B6516F"/>
    <w:rsid w:val="00B7389C"/>
    <w:rsid w:val="00B74CEB"/>
    <w:rsid w:val="00B821A8"/>
    <w:rsid w:val="00B86333"/>
    <w:rsid w:val="00B90B84"/>
    <w:rsid w:val="00B92C93"/>
    <w:rsid w:val="00C16949"/>
    <w:rsid w:val="00C24EE4"/>
    <w:rsid w:val="00C37F3C"/>
    <w:rsid w:val="00C71CC7"/>
    <w:rsid w:val="00C904E2"/>
    <w:rsid w:val="00C90BD7"/>
    <w:rsid w:val="00C91C25"/>
    <w:rsid w:val="00CC4D9B"/>
    <w:rsid w:val="00CE3E42"/>
    <w:rsid w:val="00CF349E"/>
    <w:rsid w:val="00D065D6"/>
    <w:rsid w:val="00D06E94"/>
    <w:rsid w:val="00D50A29"/>
    <w:rsid w:val="00D54C0D"/>
    <w:rsid w:val="00D86363"/>
    <w:rsid w:val="00D97B50"/>
    <w:rsid w:val="00DA3D83"/>
    <w:rsid w:val="00DC3DCC"/>
    <w:rsid w:val="00DD08C5"/>
    <w:rsid w:val="00DE08E4"/>
    <w:rsid w:val="00E14B78"/>
    <w:rsid w:val="00E26CBC"/>
    <w:rsid w:val="00E4132B"/>
    <w:rsid w:val="00E4228E"/>
    <w:rsid w:val="00E428CE"/>
    <w:rsid w:val="00E4495E"/>
    <w:rsid w:val="00E53057"/>
    <w:rsid w:val="00E55863"/>
    <w:rsid w:val="00E6292D"/>
    <w:rsid w:val="00E665C5"/>
    <w:rsid w:val="00E77733"/>
    <w:rsid w:val="00EF18FD"/>
    <w:rsid w:val="00F276AC"/>
    <w:rsid w:val="00F850C0"/>
    <w:rsid w:val="00F87941"/>
    <w:rsid w:val="00FD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5B69"/>
  <w15:chartTrackingRefBased/>
  <w15:docId w15:val="{BA7A535F-343E-4464-873A-F905F8A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3057"/>
    <w:rPr>
      <w:color w:val="808080"/>
    </w:rPr>
  </w:style>
  <w:style w:type="table" w:styleId="Tablaconcuadrcula">
    <w:name w:val="Table Grid"/>
    <w:basedOn w:val="Tablanormal"/>
    <w:uiPriority w:val="39"/>
    <w:rsid w:val="005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4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4771A281CE7F4CA3922B3436312F88" ma:contentTypeVersion="12" ma:contentTypeDescription="Crear nuevo documento." ma:contentTypeScope="" ma:versionID="9a87abc7484a850834e1c32836288962">
  <xsd:schema xmlns:xsd="http://www.w3.org/2001/XMLSchema" xmlns:xs="http://www.w3.org/2001/XMLSchema" xmlns:p="http://schemas.microsoft.com/office/2006/metadata/properties" xmlns:ns3="2df4db03-1b27-420a-9eb9-b160d16972a6" xmlns:ns4="454f66ff-86cc-4278-86ba-cf14d616815c" targetNamespace="http://schemas.microsoft.com/office/2006/metadata/properties" ma:root="true" ma:fieldsID="b20a123401ad4ed008b9de77edb5918e" ns3:_="" ns4:_="">
    <xsd:import namespace="2df4db03-1b27-420a-9eb9-b160d16972a6"/>
    <xsd:import namespace="454f66ff-86cc-4278-86ba-cf14d61681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4db03-1b27-420a-9eb9-b160d16972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f66ff-86cc-4278-86ba-cf14d6168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517AA9-1C83-454F-AF20-533359847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6E6EF1-A974-4196-A127-CC0E0373F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7B6DC-9978-451A-B048-480F40297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4db03-1b27-420a-9eb9-b160d16972a6"/>
    <ds:schemaRef ds:uri="454f66ff-86cc-4278-86ba-cf14d61681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Escobar</dc:creator>
  <cp:keywords/>
  <dc:description/>
  <cp:lastModifiedBy>Luis Eduardo Ortiz Holguin</cp:lastModifiedBy>
  <cp:revision>142</cp:revision>
  <dcterms:created xsi:type="dcterms:W3CDTF">2020-05-20T19:26:00Z</dcterms:created>
  <dcterms:modified xsi:type="dcterms:W3CDTF">2021-05-17T02:58:00Z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0x0101001C4771A281CE7F4CA3922B3436312F88</vt:lpwstr>
  </property>
</Properties>
</file>