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1064" w14:textId="77777777" w:rsidR="002245BB" w:rsidRPr="0089690C" w:rsidRDefault="002C337D">
      <w:pPr>
        <w:rPr>
          <w:lang w:val="pt-BR"/>
        </w:rPr>
      </w:pPr>
      <w:r w:rsidRPr="0089690C">
        <w:rPr>
          <w:lang w:val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25BF003" wp14:editId="0C13840D">
            <wp:simplePos x="0" y="0"/>
            <wp:positionH relativeFrom="column">
              <wp:posOffset>22236</wp:posOffset>
            </wp:positionH>
            <wp:positionV relativeFrom="paragraph">
              <wp:posOffset>0</wp:posOffset>
            </wp:positionV>
            <wp:extent cx="1905000" cy="1057275"/>
            <wp:effectExtent l="0" t="0" r="0" b="0"/>
            <wp:wrapSquare wrapText="bothSides" distT="0" distB="0" distL="114300" distR="11430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17276" t="30034" r="17276" b="321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74B4A1" w14:textId="77777777" w:rsidR="002245BB" w:rsidRPr="0089690C" w:rsidRDefault="002C337D">
      <w:pPr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89690C">
        <w:rPr>
          <w:rFonts w:ascii="Calibri" w:eastAsia="Calibri" w:hAnsi="Calibri" w:cs="Calibri"/>
          <w:b/>
          <w:bCs/>
          <w:sz w:val="32"/>
          <w:szCs w:val="32"/>
          <w:lang w:val="pt-BR"/>
        </w:rPr>
        <w:t>RELATÓRIO DA ANÁLISE DE BIORRESSONÂNCIA</w:t>
      </w:r>
    </w:p>
    <w:p w14:paraId="3F425855" w14:textId="553961C6" w:rsidR="002245BB" w:rsidRPr="0089690C" w:rsidRDefault="0089690C">
      <w:pPr>
        <w:jc w:val="center"/>
        <w:rPr>
          <w:rFonts w:ascii="Calibri" w:eastAsia="Calibri" w:hAnsi="Calibri" w:cs="Calibri"/>
          <w:b/>
          <w:bCs/>
          <w:sz w:val="32"/>
          <w:szCs w:val="32"/>
          <w:lang w:val="pt-BR"/>
        </w:rPr>
      </w:pPr>
      <w:r w:rsidRPr="0089690C">
        <w:rPr>
          <w:rFonts w:ascii="Calibri" w:eastAsia="Calibri" w:hAnsi="Calibri" w:cs="Calibri"/>
          <w:b/>
          <w:bCs/>
          <w:sz w:val="32"/>
          <w:szCs w:val="32"/>
          <w:lang w:val="pt-BR"/>
        </w:rPr>
        <w:t>{</w:t>
      </w:r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{</w:t>
      </w:r>
      <w:proofErr w:type="spellStart"/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name</w:t>
      </w:r>
      <w:proofErr w:type="spellEnd"/>
      <w:r>
        <w:rPr>
          <w:rFonts w:ascii="Calibri" w:eastAsia="Calibri" w:hAnsi="Calibri" w:cs="Calibri"/>
          <w:b/>
          <w:bCs/>
          <w:sz w:val="32"/>
          <w:szCs w:val="32"/>
          <w:lang w:val="pt-BR"/>
        </w:rPr>
        <w:t>}}</w:t>
      </w:r>
    </w:p>
    <w:p w14:paraId="09FF9D10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bookmarkStart w:id="0" w:name="_heading=h.1c1ocwgpu34w" w:colFirst="0" w:colLast="0"/>
      <w:bookmarkEnd w:id="0"/>
      <w:r>
        <w:rPr>
          <w:rFonts w:ascii="Calibri" w:eastAsia="Calibri" w:hAnsi="Calibri" w:cs="Calibri"/>
          <w:b/>
          <w:bCs/>
          <w:lang w:val="pt-BR"/>
        </w:rPr>
        <w:t>1.</w:t>
      </w:r>
      <w:r w:rsidRPr="009E3C9C">
        <w:rPr>
          <w:rFonts w:ascii="Calibri" w:eastAsia="Calibri" w:hAnsi="Calibri" w:cs="Calibri"/>
          <w:b/>
          <w:bCs/>
          <w:lang w:val="pt-BR"/>
        </w:rPr>
        <w:t xml:space="preserve"> ANÁLISE BIOENERGÉTICA E BIORRESSONÂNCIA</w:t>
      </w:r>
    </w:p>
    <w:p w14:paraId="2E391926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A análise de </w:t>
      </w:r>
      <w:proofErr w:type="spellStart"/>
      <w:r w:rsidRPr="009E3C9C">
        <w:rPr>
          <w:rFonts w:ascii="Calibri" w:eastAsia="Calibri" w:hAnsi="Calibri" w:cs="Calibri"/>
          <w:lang w:val="pt-BR"/>
        </w:rPr>
        <w:t>biorressonância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(por sistemas como </w:t>
      </w:r>
      <w:proofErr w:type="spellStart"/>
      <w:r w:rsidRPr="009E3C9C">
        <w:rPr>
          <w:rFonts w:ascii="Calibri" w:eastAsia="Calibri" w:hAnsi="Calibri" w:cs="Calibri"/>
          <w:lang w:val="pt-BR"/>
        </w:rPr>
        <w:t>Prosync</w:t>
      </w:r>
      <w:proofErr w:type="spellEnd"/>
      <w:r w:rsidRPr="009E3C9C">
        <w:rPr>
          <w:rFonts w:ascii="Calibri" w:eastAsia="Calibri" w:hAnsi="Calibri" w:cs="Calibri"/>
          <w:lang w:val="pt-BR"/>
        </w:rPr>
        <w:t>, Oberon ou Meta Hunter) não substitui o diagnóstico clínico. Seu propósito é identificar e medir padrões de frequência vibracional emitidos por tecidos e órgãos do corpo, comparando-os com assinaturas de frequência consideradas ideais.</w:t>
      </w:r>
    </w:p>
    <w:p w14:paraId="5F869255" w14:textId="77777777" w:rsidR="00B353B6" w:rsidRPr="009E3C9C" w:rsidRDefault="00B353B6" w:rsidP="00B353B6">
      <w:pPr>
        <w:numPr>
          <w:ilvl w:val="0"/>
          <w:numId w:val="4"/>
        </w:num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Princípio Básico: Cada célula, estrutura e microrganismo vibra dentro de uma faixa de frequência específica. O sistema de </w:t>
      </w:r>
      <w:proofErr w:type="spellStart"/>
      <w:r w:rsidRPr="009E3C9C">
        <w:rPr>
          <w:rFonts w:ascii="Calibri" w:eastAsia="Calibri" w:hAnsi="Calibri" w:cs="Calibri"/>
          <w:lang w:val="pt-BR"/>
        </w:rPr>
        <w:t>biorressonância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compara a frequência medida no paciente com faixas de referência estabelecidas por pesquisa biofísica.</w:t>
      </w:r>
    </w:p>
    <w:p w14:paraId="48A8A450" w14:textId="77777777" w:rsidR="00B353B6" w:rsidRPr="009E3C9C" w:rsidRDefault="00B353B6" w:rsidP="00B353B6">
      <w:pPr>
        <w:numPr>
          <w:ilvl w:val="0"/>
          <w:numId w:val="4"/>
        </w:num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Detecção de Desvios: A incongruência entre a frequência ideal e a frequência detectada é registrada como um "desvio". Esse desvio é frequentemente interpretado como um indicativo de estresse celular, resposta inflamatória e/ou presença de agentes biológicos.</w:t>
      </w:r>
    </w:p>
    <w:p w14:paraId="08B47E50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>
        <w:rPr>
          <w:rFonts w:ascii="Calibri" w:eastAsia="Calibri" w:hAnsi="Calibri" w:cs="Calibri"/>
          <w:b/>
          <w:bCs/>
          <w:lang w:val="pt-BR"/>
        </w:rPr>
        <w:t xml:space="preserve">2. </w:t>
      </w:r>
      <w:r w:rsidRPr="009E3C9C">
        <w:rPr>
          <w:rFonts w:ascii="Calibri" w:eastAsia="Calibri" w:hAnsi="Calibri" w:cs="Calibri"/>
          <w:b/>
          <w:bCs/>
          <w:lang w:val="pt-BR"/>
        </w:rPr>
        <w:t>CATEGORIAS DA ANÁLISE</w:t>
      </w:r>
    </w:p>
    <w:p w14:paraId="0F5E7019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A análise de </w:t>
      </w:r>
      <w:proofErr w:type="spellStart"/>
      <w:r w:rsidRPr="009E3C9C">
        <w:rPr>
          <w:rFonts w:ascii="Calibri" w:eastAsia="Calibri" w:hAnsi="Calibri" w:cs="Calibri"/>
          <w:lang w:val="pt-BR"/>
        </w:rPr>
        <w:t>biorress</w:t>
      </w:r>
      <w:r>
        <w:rPr>
          <w:rFonts w:ascii="Calibri" w:eastAsia="Calibri" w:hAnsi="Calibri" w:cs="Calibri"/>
          <w:lang w:val="pt-BR"/>
        </w:rPr>
        <w:t>onâ</w:t>
      </w:r>
      <w:r w:rsidRPr="009E3C9C">
        <w:rPr>
          <w:rFonts w:ascii="Calibri" w:eastAsia="Calibri" w:hAnsi="Calibri" w:cs="Calibri"/>
          <w:lang w:val="pt-BR"/>
        </w:rPr>
        <w:t>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pode ser categorizada em diferentes seções para avaliar o impacto dos fatores que interferem no equilíbrio orgânico e energético do indivíduo.</w:t>
      </w:r>
    </w:p>
    <w:p w14:paraId="34FF28ED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>2.1. Microrganismos</w:t>
      </w:r>
    </w:p>
    <w:p w14:paraId="3BD1EEA1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Esta categoria identifica microrganismos que apresentam ressonância com o campo biológico do paciente. Os sintomas associados refletem descrições clínicas reconhecidas, mas a manifestação varia conforme as particularidades fisiológicas e energéticas individuais.</w:t>
      </w:r>
    </w:p>
    <w:p w14:paraId="7FBC6ADB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Na abordagem integrativa, desequilíbrios de bem-estar podem resultar da combinação sinérgica de um microrganismo com uma toxina associada.</w:t>
      </w:r>
    </w:p>
    <w:p w14:paraId="7A5C41A0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>2.2. Toxinas</w:t>
      </w:r>
    </w:p>
    <w:p w14:paraId="404E90E2" w14:textId="77777777" w:rsidR="00B353B6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Esta análise inclui metais pesados, solventes, agrotóxicos, </w:t>
      </w:r>
      <w:proofErr w:type="spellStart"/>
      <w:r w:rsidRPr="009E3C9C">
        <w:rPr>
          <w:rFonts w:ascii="Calibri" w:eastAsia="Calibri" w:hAnsi="Calibri" w:cs="Calibri"/>
          <w:lang w:val="pt-BR"/>
        </w:rPr>
        <w:t>xenoestrógenos</w:t>
      </w:r>
      <w:proofErr w:type="spellEnd"/>
      <w:r w:rsidRPr="009E3C9C">
        <w:rPr>
          <w:rFonts w:ascii="Calibri" w:eastAsia="Calibri" w:hAnsi="Calibri" w:cs="Calibri"/>
          <w:lang w:val="pt-BR"/>
        </w:rPr>
        <w:t>, radiação e toxinas diversas (ambientais, alimentares, intestinais, nervosas e farmacológicas).</w:t>
      </w:r>
      <w:r>
        <w:rPr>
          <w:rFonts w:ascii="Calibri" w:eastAsia="Calibri" w:hAnsi="Calibri" w:cs="Calibri"/>
          <w:lang w:val="pt-BR"/>
        </w:rPr>
        <w:t xml:space="preserve"> </w:t>
      </w:r>
    </w:p>
    <w:p w14:paraId="21190E63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Tais substâncias contribuem para o aumento do estresse oxidativo, desestabilização metabólica e redução da eficiência imunológica, bem como alteram o pH dos tecidos e favorecem a disbiose, facilitando a proliferação de microrganismos oportunistas.</w:t>
      </w:r>
    </w:p>
    <w:p w14:paraId="5949AF19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 xml:space="preserve">2.3. Campo </w:t>
      </w:r>
      <w:proofErr w:type="spellStart"/>
      <w:r w:rsidRPr="009E3C9C">
        <w:rPr>
          <w:rFonts w:ascii="Calibri" w:eastAsia="Calibri" w:hAnsi="Calibri" w:cs="Calibri"/>
          <w:b/>
          <w:bCs/>
          <w:lang w:val="pt-BR"/>
        </w:rPr>
        <w:t>Morfogenético</w:t>
      </w:r>
      <w:proofErr w:type="spellEnd"/>
    </w:p>
    <w:p w14:paraId="7ACF48B1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 xml:space="preserve">O campo </w:t>
      </w:r>
      <w:proofErr w:type="spellStart"/>
      <w:r w:rsidRPr="009E3C9C">
        <w:rPr>
          <w:rFonts w:ascii="Calibri" w:eastAsia="Calibri" w:hAnsi="Calibri" w:cs="Calibri"/>
          <w:lang w:val="pt-BR"/>
        </w:rPr>
        <w:t>morfogenético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é captado via </w:t>
      </w:r>
      <w:proofErr w:type="spellStart"/>
      <w:r w:rsidRPr="009E3C9C">
        <w:rPr>
          <w:rFonts w:ascii="Calibri" w:eastAsia="Calibri" w:hAnsi="Calibri" w:cs="Calibri"/>
          <w:lang w:val="pt-BR"/>
        </w:rPr>
        <w:t>biorressonância</w:t>
      </w:r>
      <w:proofErr w:type="spellEnd"/>
      <w:r w:rsidRPr="009E3C9C">
        <w:rPr>
          <w:rFonts w:ascii="Calibri" w:eastAsia="Calibri" w:hAnsi="Calibri" w:cs="Calibri"/>
          <w:lang w:val="pt-BR"/>
        </w:rPr>
        <w:t xml:space="preserve"> para identificar o impacto de fatores psicoemocionais e sociais</w:t>
      </w:r>
      <w:r>
        <w:rPr>
          <w:rFonts w:ascii="Calibri" w:eastAsia="Calibri" w:hAnsi="Calibri" w:cs="Calibri"/>
          <w:lang w:val="pt-BR"/>
        </w:rPr>
        <w:t xml:space="preserve">  no organismo. </w:t>
      </w:r>
    </w:p>
    <w:p w14:paraId="7D249CBE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Pesquisas demonstram que estresse crônico, emoções persistentes e conflitos psicossociais induzem alterações mensuráveis na atividade elétrica cerebral, coerência cardíaca, função imunológica e regulação neuroendócrina.</w:t>
      </w:r>
    </w:p>
    <w:p w14:paraId="009E1B57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lastRenderedPageBreak/>
        <w:t>2.4. Alimentos</w:t>
      </w:r>
    </w:p>
    <w:p w14:paraId="4C8B84E3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Esta análise não substitui as orientações nutricionais convencionais, mas indica como alimentos específicos podem influenciar o equilíbrio energético, digestório, inflamatório e imunológico.</w:t>
      </w:r>
    </w:p>
    <w:p w14:paraId="1F75DFB8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A compatibilidade alimentar é determinada pela ressonância entre o organismo e cada alimento testado. Os padrões de ressonância sugerem se o alimento contribui para a harmonia fisiológica ou, inversamente, aumenta o estresse metabólico.</w:t>
      </w:r>
    </w:p>
    <w:p w14:paraId="08146054" w14:textId="77777777" w:rsidR="00B353B6" w:rsidRPr="009E3C9C" w:rsidRDefault="00B353B6" w:rsidP="00B353B6">
      <w:pPr>
        <w:rPr>
          <w:rFonts w:ascii="Calibri" w:eastAsia="Calibri" w:hAnsi="Calibri" w:cs="Calibri"/>
          <w:b/>
          <w:bCs/>
          <w:lang w:val="pt-BR"/>
        </w:rPr>
      </w:pPr>
      <w:r w:rsidRPr="009E3C9C">
        <w:rPr>
          <w:rFonts w:ascii="Calibri" w:eastAsia="Calibri" w:hAnsi="Calibri" w:cs="Calibri"/>
          <w:b/>
          <w:bCs/>
          <w:lang w:val="pt-BR"/>
        </w:rPr>
        <w:t>2.5. Pedras e Cristais</w:t>
      </w:r>
    </w:p>
    <w:p w14:paraId="10C018C3" w14:textId="77777777" w:rsidR="00B353B6" w:rsidRPr="009E3C9C" w:rsidRDefault="00B353B6" w:rsidP="00B353B6">
      <w:pPr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Pedras e cristais possuem uma organização atômica altamente estável, emitindo padrões vibracionais constantes (referências de coerência).</w:t>
      </w:r>
    </w:p>
    <w:p w14:paraId="3482A4B1" w14:textId="77777777" w:rsidR="00B353B6" w:rsidRPr="009E3C9C" w:rsidRDefault="00B353B6" w:rsidP="00B353B6">
      <w:pPr>
        <w:tabs>
          <w:tab w:val="num" w:pos="720"/>
        </w:tabs>
        <w:rPr>
          <w:rFonts w:ascii="Calibri" w:eastAsia="Calibri" w:hAnsi="Calibri" w:cs="Calibri"/>
          <w:lang w:val="pt-BR"/>
        </w:rPr>
      </w:pPr>
      <w:r w:rsidRPr="009E3C9C">
        <w:rPr>
          <w:rFonts w:ascii="Calibri" w:eastAsia="Calibri" w:hAnsi="Calibri" w:cs="Calibri"/>
          <w:lang w:val="pt-BR"/>
        </w:rPr>
        <w:t>Esses padrões podem interagir com sistemas biológicos e emocionais em desregulação. Sendo assim, a afinidade com determinados cristais sugere que o organismo está buscando restaurar sua própria estabilidade, e esses elementos podem atuar como suportes externos para favorecer esse processo contribuindo para a redução do estresse, estabilização emocional, regulação do sistema nervoso autônomo e aumento da vitalidade.</w:t>
      </w:r>
    </w:p>
    <w:p w14:paraId="12F4E874" w14:textId="77777777" w:rsidR="00B353B6" w:rsidRPr="0089690C" w:rsidRDefault="00B353B6" w:rsidP="00B353B6">
      <w:pPr>
        <w:spacing w:after="120" w:line="240" w:lineRule="auto"/>
        <w:rPr>
          <w:rFonts w:ascii="Calibri" w:eastAsia="Calibri" w:hAnsi="Calibri" w:cs="Calibri"/>
          <w:b/>
          <w:bCs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3. INTERPRETAÇÃO DOS  RESULTADOS DAS ANÁLISES</w:t>
      </w:r>
    </w:p>
    <w:p w14:paraId="58866EEC" w14:textId="77777777" w:rsidR="00B353B6" w:rsidRPr="0089690C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u w:val="single"/>
          <w:lang w:val="pt-BR"/>
        </w:rPr>
        <w:t>D  é o índice de divergência ou grau de desvio</w:t>
      </w:r>
      <w:r w:rsidRPr="0089690C">
        <w:rPr>
          <w:rFonts w:ascii="Calibri" w:eastAsia="Calibri" w:hAnsi="Calibri" w:cs="Calibri"/>
          <w:lang w:val="pt-BR"/>
        </w:rPr>
        <w:t xml:space="preserve"> entre o padrão de frequência ideal de um órgão, tecido, microrganismo ou substância e a frequência detectada no paciente. </w:t>
      </w:r>
    </w:p>
    <w:p w14:paraId="385A4A32" w14:textId="77777777" w:rsidR="00B353B6" w:rsidRPr="0089690C" w:rsidRDefault="00B353B6" w:rsidP="00B353B6">
      <w:pPr>
        <w:spacing w:after="0" w:line="240" w:lineRule="auto"/>
        <w:jc w:val="center"/>
        <w:rPr>
          <w:rFonts w:ascii="Calibri" w:eastAsia="Calibri" w:hAnsi="Calibri" w:cs="Calibri"/>
          <w:b/>
          <w:bCs/>
          <w:lang w:val="pt-BR"/>
        </w:rPr>
      </w:pPr>
    </w:p>
    <w:p w14:paraId="7ADD40AB" w14:textId="77777777" w:rsidR="00B353B6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 xml:space="preserve">No sistema </w:t>
      </w:r>
      <w:proofErr w:type="spellStart"/>
      <w:r w:rsidRPr="0089690C">
        <w:rPr>
          <w:rFonts w:ascii="Calibri" w:eastAsia="Calibri" w:hAnsi="Calibri" w:cs="Calibri"/>
          <w:b/>
          <w:bCs/>
          <w:lang w:val="pt-BR"/>
        </w:rPr>
        <w:t>Prosync</w:t>
      </w:r>
      <w:proofErr w:type="spellEnd"/>
      <w:r w:rsidRPr="0089690C">
        <w:rPr>
          <w:rFonts w:ascii="Calibri" w:eastAsia="Calibri" w:hAnsi="Calibri" w:cs="Calibri"/>
          <w:lang w:val="pt-BR"/>
        </w:rPr>
        <w:t xml:space="preserve"> , os resultados da análise  são apresentados no formato D = X/Y, onde: X = frequência do microrganismo ou substância analisada e  Y = frequência do paciente.</w:t>
      </w:r>
      <w:r>
        <w:rPr>
          <w:rFonts w:ascii="Calibri" w:eastAsia="Calibri" w:hAnsi="Calibri" w:cs="Calibri"/>
          <w:lang w:val="pt-BR"/>
        </w:rPr>
        <w:t xml:space="preserve"> </w:t>
      </w:r>
    </w:p>
    <w:p w14:paraId="1506DE87" w14:textId="77777777" w:rsidR="00B353B6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</w:p>
    <w:p w14:paraId="744D8310" w14:textId="4393A501" w:rsidR="002245BB" w:rsidRPr="0089690C" w:rsidRDefault="00B353B6" w:rsidP="00B353B6">
      <w:pPr>
        <w:spacing w:after="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lang w:val="pt-BR"/>
        </w:rPr>
        <w:t>O sistema considera o desvio padrão de ±10%  de X em relação ao valor de Y. Quando X está mais de 10% acima ou abaixo de Y indica divergência e possível reatividade bioenergética ou um processo inflamatório relacionado ao agente testado.</w:t>
      </w:r>
    </w:p>
    <w:p w14:paraId="5CA9EACE" w14:textId="77777777" w:rsidR="002245BB" w:rsidRPr="0089690C" w:rsidRDefault="002C337D">
      <w:pPr>
        <w:spacing w:after="120" w:line="240" w:lineRule="auto"/>
        <w:rPr>
          <w:rFonts w:ascii="Calibri" w:eastAsia="Calibri" w:hAnsi="Calibri" w:cs="Calibri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Nos sistemas Oberon/Meta Hunter</w:t>
      </w:r>
      <w:r w:rsidRPr="0089690C">
        <w:rPr>
          <w:rFonts w:ascii="Calibri" w:eastAsia="Calibri" w:hAnsi="Calibri" w:cs="Calibri"/>
          <w:lang w:val="pt-BR"/>
        </w:rPr>
        <w:t xml:space="preserve">, os resultados da análise seguem as indicações abaixo: </w:t>
      </w:r>
    </w:p>
    <w:tbl>
      <w:tblPr>
        <w:tblStyle w:val="affffffff2"/>
        <w:tblW w:w="1048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423"/>
        <w:gridCol w:w="1417"/>
        <w:gridCol w:w="7645"/>
      </w:tblGrid>
      <w:tr w:rsidR="002245BB" w14:paraId="63C1CC09" w14:textId="77777777">
        <w:tc>
          <w:tcPr>
            <w:tcW w:w="1423" w:type="dxa"/>
            <w:shd w:val="clear" w:color="auto" w:fill="D9D9D9"/>
          </w:tcPr>
          <w:p w14:paraId="7DA1D38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Aspectos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DA595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62B8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Interpretação</w:t>
            </w:r>
            <w:proofErr w:type="spellEnd"/>
          </w:p>
        </w:tc>
      </w:tr>
      <w:tr w:rsidR="002245BB" w:rsidRPr="002509AC" w14:paraId="0570A8E2" w14:textId="77777777">
        <w:tc>
          <w:tcPr>
            <w:tcW w:w="1423" w:type="dxa"/>
            <w:vMerge w:val="restart"/>
            <w:vAlign w:val="center"/>
          </w:tcPr>
          <w:p w14:paraId="1CBD733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Microrganismos</w:t>
            </w:r>
            <w:proofErr w:type="spellEnd"/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388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 – 0,300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6B528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Provável presença ativa do microrganismo</w:t>
            </w:r>
          </w:p>
        </w:tc>
      </w:tr>
      <w:tr w:rsidR="002245BB" w:rsidRPr="002509AC" w14:paraId="7E64E3A3" w14:textId="77777777">
        <w:tc>
          <w:tcPr>
            <w:tcW w:w="1423" w:type="dxa"/>
            <w:vMerge/>
            <w:vAlign w:val="center"/>
          </w:tcPr>
          <w:p w14:paraId="4E0BA86A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8BAD5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0,310 – 0,710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44C6D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Possível presença, podendo estar inativo ou em baixa atividade.</w:t>
            </w:r>
          </w:p>
        </w:tc>
      </w:tr>
      <w:tr w:rsidR="002245BB" w:rsidRPr="002509AC" w14:paraId="564A1B7D" w14:textId="77777777">
        <w:tc>
          <w:tcPr>
            <w:tcW w:w="1423" w:type="dxa"/>
            <w:vMerge/>
            <w:vAlign w:val="center"/>
          </w:tcPr>
          <w:p w14:paraId="7F7DCFBC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75251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 0,710</w:t>
            </w:r>
          </w:p>
        </w:tc>
        <w:tc>
          <w:tcPr>
            <w:tcW w:w="764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D9A03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Compatibilidade fraca, indicando memória energética ou irrelevante.</w:t>
            </w:r>
          </w:p>
        </w:tc>
      </w:tr>
      <w:tr w:rsidR="002245BB" w:rsidRPr="002509AC" w14:paraId="0CA4EE7A" w14:textId="77777777">
        <w:trPr>
          <w:trHeight w:val="314"/>
        </w:trPr>
        <w:tc>
          <w:tcPr>
            <w:tcW w:w="1423" w:type="dxa"/>
            <w:vMerge w:val="restart"/>
            <w:shd w:val="clear" w:color="auto" w:fill="D9D9D9"/>
            <w:vAlign w:val="center"/>
          </w:tcPr>
          <w:p w14:paraId="740D5F4D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Toxinas</w:t>
            </w:r>
            <w:proofErr w:type="spellEnd"/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E13D8" w14:textId="174F2F58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shd w:val="clear" w:color="auto" w:fill="D9D9D9"/>
          </w:tcPr>
          <w:p w14:paraId="771C1D82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Alta ressonância – forte impacto no organismo. Indica sobrecarga tóxica ou intoxicação ativa.</w:t>
            </w:r>
          </w:p>
        </w:tc>
      </w:tr>
      <w:tr w:rsidR="002245BB" w:rsidRPr="002509AC" w14:paraId="5D174FCA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2E5D87A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ACB04" w14:textId="21EAA47F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shd w:val="clear" w:color="auto" w:fill="D9D9D9"/>
          </w:tcPr>
          <w:p w14:paraId="65BB4A1E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Ressonância moderada – há sinais de influência ativa no campo biológico. </w:t>
            </w:r>
          </w:p>
        </w:tc>
      </w:tr>
      <w:tr w:rsidR="002245BB" w:rsidRPr="002509AC" w14:paraId="2D99B4B0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625CF1F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C6F8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shd w:val="clear" w:color="auto" w:fill="D9D9D9"/>
          </w:tcPr>
          <w:p w14:paraId="32101245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Baixa ressonância – possível exposição passada, mas pouco ativa.</w:t>
            </w:r>
          </w:p>
        </w:tc>
      </w:tr>
      <w:tr w:rsidR="002245BB" w14:paraId="1FE92A39" w14:textId="77777777">
        <w:trPr>
          <w:trHeight w:val="293"/>
        </w:trPr>
        <w:tc>
          <w:tcPr>
            <w:tcW w:w="1423" w:type="dxa"/>
            <w:vMerge/>
            <w:shd w:val="clear" w:color="auto" w:fill="D9D9D9"/>
            <w:vAlign w:val="center"/>
          </w:tcPr>
          <w:p w14:paraId="7CB592AF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9401B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shd w:val="clear" w:color="auto" w:fill="D9D9D9"/>
          </w:tcPr>
          <w:p w14:paraId="2FAD2174" w14:textId="77777777" w:rsidR="002245BB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 xml:space="preserve">Não ressoa com o organismo.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Ausência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 carga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tóxica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2245BB" w:rsidRPr="002509AC" w14:paraId="0EC314ED" w14:textId="77777777">
        <w:trPr>
          <w:trHeight w:val="293"/>
        </w:trPr>
        <w:tc>
          <w:tcPr>
            <w:tcW w:w="1423" w:type="dxa"/>
            <w:vMerge w:val="restart"/>
            <w:vAlign w:val="center"/>
          </w:tcPr>
          <w:p w14:paraId="4F058055" w14:textId="77777777" w:rsidR="002245BB" w:rsidRDefault="002C3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Campo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morfogenético</w:t>
            </w:r>
            <w:proofErr w:type="spellEnd"/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91C7D" w14:textId="69030EEC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vAlign w:val="center"/>
          </w:tcPr>
          <w:p w14:paraId="5B66B88E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Emoção ativa e ressoante que está afetando os campos  emocional/mental no momento.</w:t>
            </w:r>
          </w:p>
        </w:tc>
      </w:tr>
      <w:tr w:rsidR="002245BB" w14:paraId="3C918C1C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6D068CCE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4AA55" w14:textId="4D6CB0F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vAlign w:val="center"/>
          </w:tcPr>
          <w:p w14:paraId="5E173D25" w14:textId="77777777" w:rsidR="002245BB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 xml:space="preserve">Emoção latente. Ainda exerce influência, embora com menor intensidade.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Pode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estar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ligada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memórias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ou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padrões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recorrentes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2245BB" w:rsidRPr="002509AC" w14:paraId="103009DB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36B8D594" w14:textId="77777777" w:rsidR="002245BB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E66C93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vAlign w:val="center"/>
          </w:tcPr>
          <w:p w14:paraId="01E02D21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Emoção em transição ou enfraquecida. Pode estar sendo processada ou superada.</w:t>
            </w:r>
          </w:p>
        </w:tc>
      </w:tr>
      <w:tr w:rsidR="002245BB" w:rsidRPr="002509AC" w14:paraId="0735CB60" w14:textId="77777777">
        <w:trPr>
          <w:trHeight w:val="293"/>
        </w:trPr>
        <w:tc>
          <w:tcPr>
            <w:tcW w:w="1423" w:type="dxa"/>
            <w:vMerge/>
            <w:vAlign w:val="center"/>
          </w:tcPr>
          <w:p w14:paraId="1DF6D940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929B2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vAlign w:val="center"/>
          </w:tcPr>
          <w:p w14:paraId="6EC1430A" w14:textId="77777777" w:rsidR="002245BB" w:rsidRPr="0089690C" w:rsidRDefault="002C33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Geralmente não ressoa mais com o campo atual. Foi ressignificada e/ou superada.</w:t>
            </w:r>
          </w:p>
        </w:tc>
      </w:tr>
      <w:tr w:rsidR="002245BB" w:rsidRPr="002509AC" w14:paraId="12F0B65C" w14:textId="77777777">
        <w:tc>
          <w:tcPr>
            <w:tcW w:w="1423" w:type="dxa"/>
            <w:vMerge w:val="restart"/>
            <w:shd w:val="clear" w:color="auto" w:fill="D9D9D9"/>
            <w:vAlign w:val="center"/>
          </w:tcPr>
          <w:p w14:paraId="35C7D55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Alimentos</w:t>
            </w: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0AF5E" w14:textId="3E22CB61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0,300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4828B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Altamente compatível – alimento benéfico, harmonizador.</w:t>
            </w:r>
          </w:p>
        </w:tc>
      </w:tr>
      <w:tr w:rsidR="002245BB" w:rsidRPr="002509AC" w14:paraId="052B73CB" w14:textId="77777777">
        <w:tc>
          <w:tcPr>
            <w:tcW w:w="1423" w:type="dxa"/>
            <w:vMerge/>
            <w:shd w:val="clear" w:color="auto" w:fill="D9D9D9"/>
            <w:vAlign w:val="center"/>
          </w:tcPr>
          <w:p w14:paraId="3790B32D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69153" w14:textId="73A8A224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0,300 </w:t>
            </w:r>
            <w:r w:rsidR="00900B74"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0,700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1FE09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Compatível – pode ser consumido com moderação.</w:t>
            </w:r>
          </w:p>
        </w:tc>
      </w:tr>
      <w:tr w:rsidR="002245BB" w:rsidRPr="002509AC" w14:paraId="51767719" w14:textId="77777777">
        <w:trPr>
          <w:trHeight w:val="265"/>
        </w:trPr>
        <w:tc>
          <w:tcPr>
            <w:tcW w:w="1423" w:type="dxa"/>
            <w:vMerge/>
            <w:shd w:val="clear" w:color="auto" w:fill="D9D9D9"/>
            <w:vAlign w:val="center"/>
          </w:tcPr>
          <w:p w14:paraId="6F05E206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CF19F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0,710 -1,000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8E3AE7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Pouco compatível – pode gerar leve estresse biológico.</w:t>
            </w:r>
          </w:p>
        </w:tc>
      </w:tr>
      <w:tr w:rsidR="002245BB" w:rsidRPr="002509AC" w14:paraId="2A565934" w14:textId="77777777">
        <w:tc>
          <w:tcPr>
            <w:tcW w:w="1423" w:type="dxa"/>
            <w:vMerge/>
            <w:shd w:val="clear" w:color="auto" w:fill="D9D9D9"/>
            <w:vAlign w:val="center"/>
          </w:tcPr>
          <w:p w14:paraId="48C3E95A" w14:textId="77777777" w:rsidR="002245BB" w:rsidRPr="0089690C" w:rsidRDefault="002245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sz w:val="20"/>
                <w:szCs w:val="20"/>
                <w:lang w:val="pt-BR"/>
              </w:rPr>
            </w:pPr>
          </w:p>
        </w:tc>
        <w:tc>
          <w:tcPr>
            <w:tcW w:w="1417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BF16C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&gt;1,000</w:t>
            </w:r>
          </w:p>
        </w:tc>
        <w:tc>
          <w:tcPr>
            <w:tcW w:w="7645" w:type="dxa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979E6" w14:textId="77777777" w:rsidR="002245BB" w:rsidRPr="0089690C" w:rsidRDefault="002C337D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pt-BR"/>
              </w:rPr>
            </w:pPr>
            <w:r w:rsidRPr="0089690C">
              <w:rPr>
                <w:rFonts w:ascii="Calibri" w:eastAsia="Calibri" w:hAnsi="Calibri" w:cs="Calibri"/>
                <w:sz w:val="20"/>
                <w:szCs w:val="20"/>
                <w:lang w:val="pt-BR"/>
              </w:rPr>
              <w:t>Incompatível – potencial alergênico, inflamatório ou intoxicante.</w:t>
            </w:r>
          </w:p>
        </w:tc>
      </w:tr>
    </w:tbl>
    <w:p w14:paraId="4DA8E20D" w14:textId="77777777" w:rsidR="002245BB" w:rsidRDefault="002C337D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lastRenderedPageBreak/>
        <w:t>4. RESULTADOS DAS ANÁLISES</w:t>
      </w:r>
    </w:p>
    <w:tbl>
      <w:tblPr>
        <w:tblStyle w:val="affffffff3"/>
        <w:tblW w:w="105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6237"/>
        <w:gridCol w:w="1134"/>
      </w:tblGrid>
      <w:tr w:rsidR="00965A73" w14:paraId="340FE4B1" w14:textId="77777777" w:rsidTr="00965A73">
        <w:trPr>
          <w:trHeight w:val="279"/>
        </w:trPr>
        <w:tc>
          <w:tcPr>
            <w:tcW w:w="3222" w:type="dxa"/>
            <w:shd w:val="clear" w:color="auto" w:fill="D9D9D9"/>
          </w:tcPr>
          <w:p w14:paraId="62F4F578" w14:textId="6EBAC6E0" w:rsidR="00965A73" w:rsidRPr="00BE0685" w:rsidRDefault="00965A73" w:rsidP="00BE0685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pt-BR"/>
              </w:rPr>
            </w:pPr>
            <w:r w:rsidRPr="00BE0685">
              <w:rPr>
                <w:rFonts w:ascii="Calibri" w:eastAsia="Calibri" w:hAnsi="Calibri" w:cs="Calibri"/>
                <w:b/>
                <w:bCs/>
                <w:lang w:val="pt-BR"/>
              </w:rPr>
              <w:t>MICRORGANISMOS DETECTADOS NO OBERON/META HUNTER</w:t>
            </w:r>
            <w:r>
              <w:rPr>
                <w:rFonts w:ascii="Calibri" w:eastAsia="Calibri" w:hAnsi="Calibri" w:cs="Calibri"/>
                <w:b/>
                <w:bCs/>
                <w:lang w:val="pt-BR"/>
              </w:rPr>
              <w:t xml:space="preserve"> - TIPO</w:t>
            </w:r>
          </w:p>
        </w:tc>
        <w:tc>
          <w:tcPr>
            <w:tcW w:w="6237" w:type="dxa"/>
            <w:shd w:val="clear" w:color="auto" w:fill="D9D9D9"/>
          </w:tcPr>
          <w:p w14:paraId="6482342D" w14:textId="7031C99B" w:rsidR="00965A73" w:rsidRDefault="00965A7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FREQUENTES</w:t>
            </w:r>
          </w:p>
        </w:tc>
        <w:tc>
          <w:tcPr>
            <w:tcW w:w="1134" w:type="dxa"/>
            <w:shd w:val="clear" w:color="auto" w:fill="D9D9D9"/>
          </w:tcPr>
          <w:p w14:paraId="721894C3" w14:textId="77777777" w:rsidR="00965A73" w:rsidRDefault="00965A73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900B74" w14:paraId="43B89552" w14:textId="77777777" w:rsidTr="00A80BBA">
        <w:trPr>
          <w:trHeight w:val="279"/>
        </w:trPr>
        <w:tc>
          <w:tcPr>
            <w:tcW w:w="10593" w:type="dxa"/>
            <w:gridSpan w:val="3"/>
          </w:tcPr>
          <w:p w14:paraId="7DCD3008" w14:textId="312EAF4A" w:rsidR="00900B74" w:rsidRPr="00A41842" w:rsidRDefault="00900B74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{%</w:t>
            </w:r>
            <w:r w:rsidR="00A80BBA" w:rsidRPr="00A41842">
              <w:rPr>
                <w:rFonts w:ascii="Calibri" w:eastAsia="Calibri" w:hAnsi="Calibri" w:cs="Calibri"/>
              </w:rPr>
              <w:t xml:space="preserve">tr for item in </w:t>
            </w:r>
            <w:proofErr w:type="spellStart"/>
            <w:r w:rsidR="00A80BBA" w:rsidRPr="00A41842">
              <w:rPr>
                <w:rFonts w:ascii="Calibri" w:eastAsia="Calibri" w:hAnsi="Calibri" w:cs="Calibri"/>
              </w:rPr>
              <w:t>table_microorganism</w:t>
            </w:r>
            <w:proofErr w:type="spellEnd"/>
            <w:r w:rsidR="00A80BBA" w:rsidRPr="00A41842">
              <w:rPr>
                <w:rFonts w:ascii="Calibri" w:eastAsia="Calibri" w:hAnsi="Calibri" w:cs="Calibri"/>
              </w:rPr>
              <w:t>%}</w:t>
            </w:r>
          </w:p>
        </w:tc>
      </w:tr>
      <w:tr w:rsidR="00965A73" w14:paraId="3DAEDDE4" w14:textId="77777777" w:rsidTr="00965A73">
        <w:trPr>
          <w:trHeight w:val="279"/>
        </w:trPr>
        <w:tc>
          <w:tcPr>
            <w:tcW w:w="3222" w:type="dxa"/>
          </w:tcPr>
          <w:p w14:paraId="4BB78EA8" w14:textId="14C2E391" w:rsidR="00965A73" w:rsidRPr="00A41842" w:rsidRDefault="00965A73" w:rsidP="00571370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item.nome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6237" w:type="dxa"/>
          </w:tcPr>
          <w:p w14:paraId="0663C25A" w14:textId="1E247A8D" w:rsidR="00965A73" w:rsidRPr="00A41842" w:rsidRDefault="00965A73" w:rsidP="00571370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item.sintomas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134" w:type="dxa"/>
          </w:tcPr>
          <w:p w14:paraId="3C239F9B" w14:textId="0ED3BB06" w:rsidR="00965A73" w:rsidRPr="00A41842" w:rsidRDefault="00965A7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item.D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</w:tr>
      <w:tr w:rsidR="00A80BBA" w14:paraId="0B997827" w14:textId="77777777" w:rsidTr="001F7EA7">
        <w:trPr>
          <w:trHeight w:val="279"/>
        </w:trPr>
        <w:tc>
          <w:tcPr>
            <w:tcW w:w="10593" w:type="dxa"/>
            <w:gridSpan w:val="3"/>
          </w:tcPr>
          <w:p w14:paraId="5CF0592A" w14:textId="40863901" w:rsidR="00A80BBA" w:rsidRPr="00A41842" w:rsidRDefault="00A80BBA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 w:rsidRPr="00A41842">
              <w:rPr>
                <w:rFonts w:ascii="Calibri" w:eastAsia="Calibri" w:hAnsi="Calibri" w:cs="Calibri"/>
              </w:rPr>
              <w:t>endfor</w:t>
            </w:r>
            <w:proofErr w:type="spellEnd"/>
            <w:r w:rsidRPr="00A41842"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7B5937BF" w14:textId="77777777" w:rsidR="002245BB" w:rsidRDefault="002245BB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W w:w="105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2"/>
        <w:gridCol w:w="6237"/>
        <w:gridCol w:w="1134"/>
      </w:tblGrid>
      <w:tr w:rsidR="00965A73" w14:paraId="5CBEFB02" w14:textId="77777777" w:rsidTr="00965A73">
        <w:trPr>
          <w:trHeight w:val="279"/>
        </w:trPr>
        <w:tc>
          <w:tcPr>
            <w:tcW w:w="3222" w:type="dxa"/>
            <w:shd w:val="clear" w:color="auto" w:fill="D9D9D9"/>
          </w:tcPr>
          <w:p w14:paraId="3A7C02EA" w14:textId="58F7B649" w:rsidR="00965A73" w:rsidRPr="00BE0685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lang w:val="pt-BR"/>
              </w:rPr>
            </w:pPr>
            <w:r w:rsidRPr="00BE0685">
              <w:rPr>
                <w:rFonts w:ascii="Calibri" w:eastAsia="Calibri" w:hAnsi="Calibri" w:cs="Calibri"/>
                <w:b/>
                <w:bCs/>
                <w:lang w:val="pt-BR"/>
              </w:rPr>
              <w:t xml:space="preserve">MICRORGANISMOS DETECTADOS NO </w:t>
            </w:r>
            <w:r>
              <w:rPr>
                <w:rFonts w:ascii="Calibri" w:eastAsia="Calibri" w:hAnsi="Calibri" w:cs="Calibri"/>
                <w:b/>
                <w:bCs/>
                <w:lang w:val="pt-BR"/>
              </w:rPr>
              <w:t>PROSYNC - TIPO</w:t>
            </w:r>
          </w:p>
        </w:tc>
        <w:tc>
          <w:tcPr>
            <w:tcW w:w="6237" w:type="dxa"/>
            <w:shd w:val="clear" w:color="auto" w:fill="D9D9D9"/>
          </w:tcPr>
          <w:p w14:paraId="0E3A553E" w14:textId="77777777" w:rsidR="00965A73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FREQUENTES</w:t>
            </w:r>
          </w:p>
        </w:tc>
        <w:tc>
          <w:tcPr>
            <w:tcW w:w="1134" w:type="dxa"/>
            <w:shd w:val="clear" w:color="auto" w:fill="D9D9D9"/>
          </w:tcPr>
          <w:p w14:paraId="6EE4DB53" w14:textId="77777777" w:rsidR="00965A73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195CA6" w14:paraId="7A451C88" w14:textId="77777777" w:rsidTr="00445341">
        <w:trPr>
          <w:trHeight w:val="279"/>
        </w:trPr>
        <w:tc>
          <w:tcPr>
            <w:tcW w:w="10593" w:type="dxa"/>
            <w:gridSpan w:val="3"/>
          </w:tcPr>
          <w:p w14:paraId="25B05F4F" w14:textId="13C57712" w:rsidR="00195CA6" w:rsidRPr="00A41842" w:rsidRDefault="00195CA6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 xml:space="preserve">{%tr for item in </w:t>
            </w:r>
            <w:proofErr w:type="spellStart"/>
            <w:r w:rsidRPr="00A41842">
              <w:rPr>
                <w:rFonts w:ascii="Calibri" w:eastAsia="Calibri" w:hAnsi="Calibri" w:cs="Calibri"/>
              </w:rPr>
              <w:t>tab</w:t>
            </w:r>
            <w:r>
              <w:rPr>
                <w:rFonts w:ascii="Calibri" w:eastAsia="Calibri" w:hAnsi="Calibri" w:cs="Calibri"/>
              </w:rPr>
              <w:t>le_prosync</w:t>
            </w:r>
            <w:proofErr w:type="spellEnd"/>
            <w:r w:rsidRPr="00A41842">
              <w:rPr>
                <w:rFonts w:ascii="Calibri" w:eastAsia="Calibri" w:hAnsi="Calibri" w:cs="Calibri"/>
              </w:rPr>
              <w:t xml:space="preserve"> %}</w:t>
            </w:r>
          </w:p>
        </w:tc>
      </w:tr>
      <w:tr w:rsidR="00965A73" w14:paraId="23BC17B1" w14:textId="77777777" w:rsidTr="00965A73">
        <w:trPr>
          <w:trHeight w:val="279"/>
        </w:trPr>
        <w:tc>
          <w:tcPr>
            <w:tcW w:w="3222" w:type="dxa"/>
          </w:tcPr>
          <w:p w14:paraId="48648E82" w14:textId="77777777" w:rsidR="00965A73" w:rsidRPr="00A41842" w:rsidRDefault="00965A73" w:rsidP="0044534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item.nome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6237" w:type="dxa"/>
          </w:tcPr>
          <w:p w14:paraId="4807BEEB" w14:textId="77777777" w:rsidR="00965A73" w:rsidRPr="00A41842" w:rsidRDefault="00965A73" w:rsidP="00445341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item.sintomas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134" w:type="dxa"/>
          </w:tcPr>
          <w:p w14:paraId="6C340BF8" w14:textId="77777777" w:rsidR="00965A73" w:rsidRPr="00A41842" w:rsidRDefault="00965A73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>{{</w:t>
            </w:r>
            <w:proofErr w:type="spellStart"/>
            <w:r w:rsidRPr="00A41842">
              <w:rPr>
                <w:rFonts w:ascii="Calibri" w:eastAsia="Calibri" w:hAnsi="Calibri" w:cs="Calibri"/>
              </w:rPr>
              <w:t>item.D</w:t>
            </w:r>
            <w:proofErr w:type="spellEnd"/>
            <w:r w:rsidRPr="00A41842">
              <w:rPr>
                <w:rFonts w:ascii="Calibri" w:eastAsia="Calibri" w:hAnsi="Calibri" w:cs="Calibri"/>
              </w:rPr>
              <w:t>}}</w:t>
            </w:r>
          </w:p>
        </w:tc>
      </w:tr>
      <w:tr w:rsidR="00195CA6" w14:paraId="601EE13D" w14:textId="77777777" w:rsidTr="00445341">
        <w:trPr>
          <w:trHeight w:val="279"/>
        </w:trPr>
        <w:tc>
          <w:tcPr>
            <w:tcW w:w="10593" w:type="dxa"/>
            <w:gridSpan w:val="3"/>
          </w:tcPr>
          <w:p w14:paraId="01E598AD" w14:textId="77777777" w:rsidR="00195CA6" w:rsidRPr="00A41842" w:rsidRDefault="00195CA6" w:rsidP="00445341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 w:rsidRPr="00A41842"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 w:rsidRPr="00A41842">
              <w:rPr>
                <w:rFonts w:ascii="Calibri" w:eastAsia="Calibri" w:hAnsi="Calibri" w:cs="Calibri"/>
              </w:rPr>
              <w:t>endfor</w:t>
            </w:r>
            <w:proofErr w:type="spellEnd"/>
            <w:r w:rsidRPr="00A41842"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39576935" w14:textId="77777777" w:rsidR="00900B74" w:rsidRDefault="00900B74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4"/>
        <w:tblW w:w="1063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5817"/>
        <w:gridCol w:w="1559"/>
      </w:tblGrid>
      <w:tr w:rsidR="002245BB" w14:paraId="7CBE64CC" w14:textId="77777777">
        <w:tc>
          <w:tcPr>
            <w:tcW w:w="3261" w:type="dxa"/>
            <w:shd w:val="clear" w:color="auto" w:fill="D9D9D9"/>
          </w:tcPr>
          <w:p w14:paraId="28BC83D0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TOXINAS DETECTADAS</w:t>
            </w:r>
          </w:p>
        </w:tc>
        <w:tc>
          <w:tcPr>
            <w:tcW w:w="5817" w:type="dxa"/>
            <w:shd w:val="clear" w:color="auto" w:fill="D9D9D9"/>
          </w:tcPr>
          <w:p w14:paraId="63198BE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SINTOMAS COMUNS DA INTOXICAÇÃO</w:t>
            </w:r>
          </w:p>
        </w:tc>
        <w:tc>
          <w:tcPr>
            <w:tcW w:w="1559" w:type="dxa"/>
            <w:shd w:val="clear" w:color="auto" w:fill="D9D9D9"/>
          </w:tcPr>
          <w:p w14:paraId="6619898A" w14:textId="77777777" w:rsidR="002245BB" w:rsidRDefault="002C337D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0311EE" w14:paraId="3814DC53" w14:textId="77777777" w:rsidTr="006A42E1">
        <w:tc>
          <w:tcPr>
            <w:tcW w:w="10637" w:type="dxa"/>
            <w:gridSpan w:val="3"/>
          </w:tcPr>
          <w:p w14:paraId="280DE4F2" w14:textId="026F1AE4" w:rsidR="000311EE" w:rsidRPr="000311EE" w:rsidRDefault="000311EE" w:rsidP="000311EE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{%tr for item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table_toxins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%}</w:t>
            </w:r>
          </w:p>
        </w:tc>
      </w:tr>
      <w:tr w:rsidR="002245BB" w14:paraId="1FA1B8BC" w14:textId="77777777">
        <w:tc>
          <w:tcPr>
            <w:tcW w:w="3261" w:type="dxa"/>
          </w:tcPr>
          <w:p w14:paraId="13552FC6" w14:textId="2464B277" w:rsidR="002245BB" w:rsidRDefault="000311E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</w:t>
            </w:r>
            <w:r w:rsidR="009B6E1B">
              <w:rPr>
                <w:rFonts w:ascii="Calibri" w:eastAsia="Calibri" w:hAnsi="Calibri" w:cs="Calibri"/>
              </w:rPr>
              <w:t>.nome</w:t>
            </w:r>
            <w:proofErr w:type="spellEnd"/>
            <w:r w:rsidR="009B6E1B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5817" w:type="dxa"/>
          </w:tcPr>
          <w:p w14:paraId="46168DAE" w14:textId="4B228C4F" w:rsidR="002245BB" w:rsidRDefault="009B6E1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item.efeitos</w:t>
            </w:r>
            <w:proofErr w:type="spellEnd"/>
            <w:r w:rsidR="002326C8"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1559" w:type="dxa"/>
          </w:tcPr>
          <w:p w14:paraId="6A462260" w14:textId="1EBAA2DE" w:rsidR="002245BB" w:rsidRDefault="002326C8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item.D</w:t>
            </w:r>
            <w:proofErr w:type="spellEnd"/>
            <w:r>
              <w:rPr>
                <w:rFonts w:ascii="Calibri" w:eastAsia="Calibri" w:hAnsi="Calibri" w:cs="Calibri"/>
              </w:rPr>
              <w:t>}}</w:t>
            </w:r>
          </w:p>
        </w:tc>
      </w:tr>
      <w:tr w:rsidR="002326C8" w14:paraId="1281ECA1" w14:textId="77777777" w:rsidTr="006B58A3">
        <w:tc>
          <w:tcPr>
            <w:tcW w:w="10637" w:type="dxa"/>
            <w:gridSpan w:val="3"/>
          </w:tcPr>
          <w:p w14:paraId="583F613B" w14:textId="3AC478AD" w:rsidR="002326C8" w:rsidRDefault="002326C8" w:rsidP="002326C8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>
              <w:rPr>
                <w:rFonts w:ascii="Calibri" w:eastAsia="Calibri" w:hAnsi="Calibri" w:cs="Calibri"/>
              </w:rPr>
              <w:t>endfor</w:t>
            </w:r>
            <w:proofErr w:type="spellEnd"/>
            <w:r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3B2B1683" w14:textId="77777777" w:rsidR="002245BB" w:rsidRDefault="002245BB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5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3"/>
        <w:gridCol w:w="1559"/>
      </w:tblGrid>
      <w:tr w:rsidR="002245BB" w14:paraId="717EBAE2" w14:textId="77777777">
        <w:trPr>
          <w:tblHeader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0B65CB" w14:textId="6E0A312B" w:rsidR="002245BB" w:rsidRDefault="00AC1F97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ALIMENTOS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34D2483" w14:textId="77777777" w:rsidR="002245BB" w:rsidRDefault="002C337D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841E0E" w14:paraId="348CF81E" w14:textId="77777777" w:rsidTr="008764ED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428C5" w14:textId="1D0D42DD" w:rsidR="00841E0E" w:rsidRDefault="00E64CF8" w:rsidP="00841E0E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for k, v in </w:t>
            </w:r>
            <w:proofErr w:type="spellStart"/>
            <w:r>
              <w:rPr>
                <w:rFonts w:ascii="Calibri" w:eastAsia="Calibri" w:hAnsi="Calibri" w:cs="Calibri"/>
              </w:rPr>
              <w:t>table_food.items</w:t>
            </w:r>
            <w:proofErr w:type="spellEnd"/>
            <w:r>
              <w:rPr>
                <w:rFonts w:ascii="Calibri" w:eastAsia="Calibri" w:hAnsi="Calibri" w:cs="Calibri"/>
              </w:rPr>
              <w:t>()%}</w:t>
            </w:r>
          </w:p>
        </w:tc>
      </w:tr>
      <w:tr w:rsidR="002245BB" w14:paraId="6BE8DDD9" w14:textId="77777777"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559E" w14:textId="37FF2B01" w:rsidR="002245BB" w:rsidRDefault="00E64CF8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r w:rsidR="008A7B2F">
              <w:rPr>
                <w:rFonts w:ascii="Calibri" w:eastAsia="Calibri" w:hAnsi="Calibri" w:cs="Calibri"/>
              </w:rPr>
              <w:t>k}}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4326" w14:textId="1AADB65B" w:rsidR="002245BB" w:rsidRDefault="008A7B2F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{{v}}</w:t>
            </w:r>
          </w:p>
        </w:tc>
      </w:tr>
      <w:tr w:rsidR="008A7B2F" w14:paraId="19BB4397" w14:textId="77777777" w:rsidTr="008A7AF8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2D893" w14:textId="11B24512" w:rsidR="008A7B2F" w:rsidRDefault="008A7B2F" w:rsidP="008A7B2F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{%</w:t>
            </w:r>
            <w:r w:rsidR="00616C91">
              <w:rPr>
                <w:rFonts w:ascii="Calibri" w:eastAsia="Calibri" w:hAnsi="Calibri" w:cs="Calibri"/>
              </w:rPr>
              <w:t>tr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end</w:t>
            </w:r>
            <w:r w:rsidR="003D34C6">
              <w:rPr>
                <w:rFonts w:ascii="Calibri" w:eastAsia="Calibri" w:hAnsi="Calibri" w:cs="Calibri"/>
              </w:rPr>
              <w:t>f</w:t>
            </w:r>
            <w:r>
              <w:rPr>
                <w:rFonts w:ascii="Calibri" w:eastAsia="Calibri" w:hAnsi="Calibri" w:cs="Calibri"/>
              </w:rPr>
              <w:t>or</w:t>
            </w:r>
            <w:proofErr w:type="spellEnd"/>
            <w:r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13923E6C" w14:textId="77777777" w:rsidR="002245BB" w:rsidRDefault="002245BB" w:rsidP="005D1C03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p w14:paraId="5661C900" w14:textId="77777777" w:rsidR="002509AC" w:rsidRDefault="002509AC" w:rsidP="005D1C03">
      <w:pPr>
        <w:widowControl w:val="0"/>
        <w:spacing w:after="0"/>
        <w:rPr>
          <w:rFonts w:ascii="Calibri" w:eastAsia="Calibri" w:hAnsi="Calibri" w:cs="Calibri"/>
          <w:sz w:val="12"/>
          <w:szCs w:val="12"/>
        </w:rPr>
      </w:pPr>
    </w:p>
    <w:tbl>
      <w:tblPr>
        <w:tblStyle w:val="affffffff5"/>
        <w:tblW w:w="1063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73"/>
        <w:gridCol w:w="1559"/>
      </w:tblGrid>
      <w:tr w:rsidR="002509AC" w14:paraId="4D31CEFE" w14:textId="77777777" w:rsidTr="007A5EC0">
        <w:trPr>
          <w:tblHeader/>
        </w:trPr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68D926" w14:textId="36A41808" w:rsidR="002509AC" w:rsidRDefault="002509AC" w:rsidP="007A5EC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CAMPO </w:t>
            </w:r>
            <w:r w:rsidRPr="002509AC">
              <w:rPr>
                <w:rFonts w:ascii="Calibri" w:eastAsia="Calibri" w:hAnsi="Calibri" w:cs="Calibri"/>
                <w:b/>
                <w:bCs/>
              </w:rPr>
              <w:t>MORFOGENÉTICO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5F399B" w14:textId="77777777" w:rsidR="002509AC" w:rsidRDefault="002509AC" w:rsidP="007A5EC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2509AC" w14:paraId="2062B45A" w14:textId="77777777" w:rsidTr="007A5EC0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CCC7" w14:textId="37DAAFAB" w:rsidR="002509AC" w:rsidRDefault="002509AC" w:rsidP="007A5EC0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for k, v in </w:t>
            </w:r>
            <w:proofErr w:type="spellStart"/>
            <w:r>
              <w:rPr>
                <w:rFonts w:ascii="Calibri" w:eastAsia="Calibri" w:hAnsi="Calibri" w:cs="Calibri"/>
              </w:rPr>
              <w:t>table_emotions</w:t>
            </w:r>
            <w:r>
              <w:rPr>
                <w:rFonts w:ascii="Calibri" w:eastAsia="Calibri" w:hAnsi="Calibri" w:cs="Calibri"/>
              </w:rPr>
              <w:t>.items</w:t>
            </w:r>
            <w:proofErr w:type="spellEnd"/>
            <w:r>
              <w:rPr>
                <w:rFonts w:ascii="Calibri" w:eastAsia="Calibri" w:hAnsi="Calibri" w:cs="Calibri"/>
              </w:rPr>
              <w:t>()%}</w:t>
            </w:r>
          </w:p>
        </w:tc>
      </w:tr>
      <w:tr w:rsidR="002509AC" w14:paraId="49C8FEBC" w14:textId="77777777" w:rsidTr="007A5EC0">
        <w:tc>
          <w:tcPr>
            <w:tcW w:w="9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B42B" w14:textId="77777777" w:rsidR="002509AC" w:rsidRDefault="002509AC" w:rsidP="007A5EC0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{{k}}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966E" w14:textId="77777777" w:rsidR="002509AC" w:rsidRDefault="002509AC" w:rsidP="007A5EC0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{{v}}</w:t>
            </w:r>
          </w:p>
        </w:tc>
      </w:tr>
      <w:tr w:rsidR="002509AC" w14:paraId="636F352E" w14:textId="77777777" w:rsidTr="007A5EC0">
        <w:tc>
          <w:tcPr>
            <w:tcW w:w="10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470B" w14:textId="77777777" w:rsidR="002509AC" w:rsidRDefault="002509AC" w:rsidP="007A5EC0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>
              <w:rPr>
                <w:rFonts w:ascii="Calibri" w:eastAsia="Calibri" w:hAnsi="Calibri" w:cs="Calibri"/>
              </w:rPr>
              <w:t>endfor</w:t>
            </w:r>
            <w:proofErr w:type="spellEnd"/>
            <w:r>
              <w:rPr>
                <w:rFonts w:ascii="Calibri" w:eastAsia="Calibri" w:hAnsi="Calibri" w:cs="Calibri"/>
              </w:rPr>
              <w:t xml:space="preserve"> %}</w:t>
            </w:r>
          </w:p>
        </w:tc>
      </w:tr>
    </w:tbl>
    <w:p w14:paraId="0973AF5B" w14:textId="77777777" w:rsidR="002509AC" w:rsidRDefault="002509AC" w:rsidP="005D1C03">
      <w:pPr>
        <w:widowControl w:val="0"/>
        <w:spacing w:after="0"/>
        <w:rPr>
          <w:rFonts w:ascii="Calibri" w:eastAsia="Calibri" w:hAnsi="Calibri" w:cs="Calibri"/>
          <w:sz w:val="12"/>
          <w:szCs w:val="12"/>
        </w:rPr>
        <w:sectPr w:rsidR="002509AC">
          <w:head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</w:sectPr>
      </w:pPr>
    </w:p>
    <w:p w14:paraId="659424EE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2DA177B6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3DC9C8A5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p w14:paraId="3D5D947D" w14:textId="77777777" w:rsidR="005D1C03" w:rsidRDefault="005D1C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4"/>
          <w:szCs w:val="4"/>
        </w:rPr>
      </w:pPr>
    </w:p>
    <w:tbl>
      <w:tblPr>
        <w:tblStyle w:val="affffffff6"/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32"/>
      </w:tblGrid>
      <w:tr w:rsidR="002245BB" w:rsidRPr="002509AC" w14:paraId="3387C657" w14:textId="77777777">
        <w:trPr>
          <w:trHeight w:val="170"/>
        </w:trPr>
        <w:tc>
          <w:tcPr>
            <w:tcW w:w="10632" w:type="dxa"/>
            <w:shd w:val="clear" w:color="auto" w:fill="D9D9D9"/>
            <w:vAlign w:val="center"/>
          </w:tcPr>
          <w:p w14:paraId="3F72D5FB" w14:textId="77777777" w:rsidR="002245BB" w:rsidRPr="0089690C" w:rsidRDefault="002C337D">
            <w:pPr>
              <w:jc w:val="center"/>
              <w:rPr>
                <w:rFonts w:ascii="Calibri" w:eastAsia="Calibri" w:hAnsi="Calibri" w:cs="Calibri"/>
                <w:b/>
                <w:bCs/>
                <w:color w:val="505050"/>
                <w:lang w:val="pt-BR"/>
              </w:rPr>
            </w:pPr>
            <w:r w:rsidRPr="0089690C">
              <w:rPr>
                <w:rFonts w:ascii="Calibri" w:eastAsia="Calibri" w:hAnsi="Calibri" w:cs="Calibri"/>
                <w:b/>
                <w:bCs/>
                <w:color w:val="505050"/>
                <w:lang w:val="pt-BR"/>
              </w:rPr>
              <w:t>OUTROS PRODUTOS QUE RECOMENDAMOS NÃO CONSUMIR</w:t>
            </w:r>
          </w:p>
        </w:tc>
      </w:tr>
      <w:tr w:rsidR="002245BB" w:rsidRPr="002509AC" w14:paraId="3789F964" w14:textId="77777777">
        <w:tc>
          <w:tcPr>
            <w:tcW w:w="10632" w:type="dxa"/>
          </w:tcPr>
          <w:p w14:paraId="7AD0CE5F" w14:textId="37D1AAB7" w:rsidR="002245BB" w:rsidRPr="0089690C" w:rsidRDefault="002C337D">
            <w:pPr>
              <w:rPr>
                <w:rFonts w:ascii="Calibri" w:eastAsia="Calibri" w:hAnsi="Calibri" w:cs="Calibri"/>
                <w:lang w:val="pt-BR"/>
              </w:rPr>
            </w:pPr>
            <w:r w:rsidRPr="0089690C">
              <w:rPr>
                <w:rFonts w:ascii="Calibri" w:eastAsia="Calibri" w:hAnsi="Calibri" w:cs="Calibri"/>
                <w:lang w:val="pt-BR"/>
              </w:rPr>
              <w:t>Açúcar, adoçantes, leite de vaca, creme de leite, queijo do tipo frescal, alimentos ultraprocessados, salgadinhos, embutidos, frituras, corantes artificiais, espinafre,</w:t>
            </w:r>
            <w:r w:rsidR="00BA34DB">
              <w:rPr>
                <w:rFonts w:ascii="Calibri" w:eastAsia="Calibri" w:hAnsi="Calibri" w:cs="Calibri"/>
                <w:lang w:val="pt-BR"/>
              </w:rPr>
              <w:t xml:space="preserve"> bebidas destiladas,</w:t>
            </w:r>
            <w:r w:rsidRPr="0089690C">
              <w:rPr>
                <w:rFonts w:ascii="Calibri" w:eastAsia="Calibri" w:hAnsi="Calibri" w:cs="Calibri"/>
                <w:lang w:val="pt-BR"/>
              </w:rPr>
              <w:t xml:space="preserve"> óleos vegetais (com exceção de azeite de oliva e óleo de coco), farinhas refinadas, sal refinado (trocar por sal marinho).</w:t>
            </w:r>
          </w:p>
        </w:tc>
      </w:tr>
    </w:tbl>
    <w:p w14:paraId="433133F1" w14:textId="77777777" w:rsidR="002245BB" w:rsidRPr="0089690C" w:rsidRDefault="002245B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sz w:val="12"/>
          <w:szCs w:val="12"/>
          <w:lang w:val="pt-BR"/>
        </w:rPr>
      </w:pPr>
    </w:p>
    <w:tbl>
      <w:tblPr>
        <w:tblStyle w:val="affffffff7"/>
        <w:tblW w:w="1063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86"/>
        <w:gridCol w:w="3685"/>
        <w:gridCol w:w="1560"/>
      </w:tblGrid>
      <w:tr w:rsidR="002245BB" w14:paraId="1B971AD2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A26A62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PEDRA/CRISTAL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D81687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BENEFÍCIOS FÍSICOS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E52C96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BENEFÍCIOS EMOCIONAIS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EC2D6A" w14:textId="77777777" w:rsidR="002245BB" w:rsidRDefault="002C337D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</w:t>
            </w:r>
          </w:p>
        </w:tc>
      </w:tr>
      <w:tr w:rsidR="00151758" w14:paraId="1C8F2892" w14:textId="77777777" w:rsidTr="00ED5B44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0F54C" w14:textId="5C7996B3" w:rsidR="00151758" w:rsidRDefault="00151758" w:rsidP="001517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for item in </w:t>
            </w:r>
            <w:proofErr w:type="spellStart"/>
            <w:r>
              <w:rPr>
                <w:rFonts w:ascii="Calibri" w:eastAsia="Calibri" w:hAnsi="Calibri" w:cs="Calibri"/>
              </w:rPr>
              <w:t>table_crystals</w:t>
            </w:r>
            <w:proofErr w:type="spellEnd"/>
            <w:r>
              <w:rPr>
                <w:rFonts w:ascii="Calibri" w:eastAsia="Calibri" w:hAnsi="Calibri" w:cs="Calibri"/>
              </w:rPr>
              <w:t>%}</w:t>
            </w:r>
          </w:p>
        </w:tc>
      </w:tr>
      <w:tr w:rsidR="002245BB" w14:paraId="105AE8CB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3937" w14:textId="5D68D18D" w:rsidR="002245BB" w:rsidRDefault="009C4C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item.cristal</w:t>
            </w:r>
            <w:proofErr w:type="spellEnd"/>
            <w:r>
              <w:rPr>
                <w:rFonts w:ascii="Calibri" w:eastAsia="Calibri" w:hAnsi="Calibri" w:cs="Calibri"/>
              </w:rPr>
              <w:t>}}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3B419" w14:textId="4F79CEE1" w:rsidR="002245BB" w:rsidRPr="0089690C" w:rsidRDefault="009C4C74">
            <w:pPr>
              <w:rPr>
                <w:rFonts w:ascii="Calibri" w:eastAsia="Calibri" w:hAnsi="Calibri" w:cs="Calibri"/>
                <w:lang w:val="pt-BR"/>
              </w:rPr>
            </w:pPr>
            <w:r>
              <w:rPr>
                <w:rFonts w:ascii="Calibri" w:eastAsia="Calibri" w:hAnsi="Calibri" w:cs="Calibri"/>
                <w:lang w:val="pt-BR"/>
              </w:rPr>
              <w:t>{{</w:t>
            </w:r>
            <w:proofErr w:type="spellStart"/>
            <w:r>
              <w:rPr>
                <w:rFonts w:ascii="Calibri" w:eastAsia="Calibri" w:hAnsi="Calibri" w:cs="Calibri"/>
                <w:lang w:val="pt-BR"/>
              </w:rPr>
              <w:t>item.beneficios_fisicos</w:t>
            </w:r>
            <w:proofErr w:type="spellEnd"/>
            <w:r>
              <w:rPr>
                <w:rFonts w:ascii="Calibri" w:eastAsia="Calibri" w:hAnsi="Calibri" w:cs="Calibri"/>
                <w:lang w:val="pt-BR"/>
              </w:rPr>
              <w:t>}}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0D0A3" w14:textId="70D59BE2" w:rsidR="002245BB" w:rsidRPr="0089690C" w:rsidRDefault="009C4C74">
            <w:pPr>
              <w:rPr>
                <w:rFonts w:ascii="Calibri" w:eastAsia="Calibri" w:hAnsi="Calibri" w:cs="Calibri"/>
                <w:lang w:val="pt-BR"/>
              </w:rPr>
            </w:pPr>
            <w:r>
              <w:rPr>
                <w:rFonts w:ascii="Calibri" w:eastAsia="Calibri" w:hAnsi="Calibri" w:cs="Calibri"/>
                <w:lang w:val="pt-BR"/>
              </w:rPr>
              <w:t>{{</w:t>
            </w:r>
            <w:proofErr w:type="spellStart"/>
            <w:r>
              <w:rPr>
                <w:rFonts w:ascii="Calibri" w:eastAsia="Calibri" w:hAnsi="Calibri" w:cs="Calibri"/>
                <w:lang w:val="pt-BR"/>
              </w:rPr>
              <w:t>item.beneficios_emocionais</w:t>
            </w:r>
            <w:proofErr w:type="spellEnd"/>
            <w:r>
              <w:rPr>
                <w:rFonts w:ascii="Calibri" w:eastAsia="Calibri" w:hAnsi="Calibri" w:cs="Calibri"/>
                <w:lang w:val="pt-BR"/>
              </w:rPr>
              <w:t>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E7D6" w14:textId="15040880" w:rsidR="002245BB" w:rsidRDefault="009C4C74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{{</w:t>
            </w:r>
            <w:proofErr w:type="spellStart"/>
            <w:r>
              <w:rPr>
                <w:rFonts w:ascii="Calibri" w:eastAsia="Calibri" w:hAnsi="Calibri" w:cs="Calibri"/>
              </w:rPr>
              <w:t>item.D</w:t>
            </w:r>
            <w:proofErr w:type="spellEnd"/>
            <w:r>
              <w:rPr>
                <w:rFonts w:ascii="Calibri" w:eastAsia="Calibri" w:hAnsi="Calibri" w:cs="Calibri"/>
              </w:rPr>
              <w:t>}}</w:t>
            </w:r>
          </w:p>
        </w:tc>
      </w:tr>
      <w:tr w:rsidR="009C4C74" w14:paraId="1E646B16" w14:textId="77777777" w:rsidTr="00B31698">
        <w:tc>
          <w:tcPr>
            <w:tcW w:w="106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FE015" w14:textId="4F81951E" w:rsidR="009C4C74" w:rsidRDefault="009C4C74" w:rsidP="009C4C7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{%tr </w:t>
            </w:r>
            <w:proofErr w:type="spellStart"/>
            <w:r>
              <w:rPr>
                <w:rFonts w:ascii="Calibri" w:eastAsia="Calibri" w:hAnsi="Calibri" w:cs="Calibri"/>
              </w:rPr>
              <w:t>endfor</w:t>
            </w:r>
            <w:proofErr w:type="spellEnd"/>
            <w:r>
              <w:rPr>
                <w:rFonts w:ascii="Calibri" w:eastAsia="Calibri" w:hAnsi="Calibri" w:cs="Calibri"/>
              </w:rPr>
              <w:t>%}</w:t>
            </w:r>
          </w:p>
        </w:tc>
      </w:tr>
    </w:tbl>
    <w:p w14:paraId="7FFE5412" w14:textId="77777777" w:rsidR="002245BB" w:rsidRDefault="002245BB">
      <w:pPr>
        <w:spacing w:after="0"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AEC328B" w14:textId="7D79832C" w:rsidR="002245BB" w:rsidRPr="0089690C" w:rsidRDefault="002C337D">
      <w:pPr>
        <w:spacing w:after="0" w:line="240" w:lineRule="auto"/>
        <w:rPr>
          <w:color w:val="000000"/>
          <w:sz w:val="24"/>
          <w:szCs w:val="24"/>
          <w:lang w:val="pt-BR"/>
        </w:rPr>
      </w:pPr>
      <w:r w:rsidRPr="0089690C">
        <w:rPr>
          <w:rFonts w:ascii="Calibri" w:eastAsia="Calibri" w:hAnsi="Calibri" w:cs="Calibri"/>
          <w:b/>
          <w:bCs/>
          <w:lang w:val="pt-BR"/>
        </w:rPr>
        <w:t>Relatório elaborado por:</w:t>
      </w:r>
      <w:r w:rsidRPr="0089690C">
        <w:rPr>
          <w:rFonts w:ascii="Calibri" w:eastAsia="Calibri" w:hAnsi="Calibri" w:cs="Calibri"/>
          <w:b/>
          <w:bCs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t>Profa. Dra. Ana Maria Torres Alvarez – CRTH-BR: 16315    -   Data</w:t>
      </w:r>
      <w:r w:rsidRPr="0089690C">
        <w:rPr>
          <w:rFonts w:ascii="Calibri" w:eastAsia="Calibri" w:hAnsi="Calibri" w:cs="Calibri"/>
          <w:b/>
          <w:bCs/>
          <w:lang w:val="pt-BR"/>
        </w:rPr>
        <w:t xml:space="preserve">: </w:t>
      </w:r>
      <w:r w:rsidR="00B353B6">
        <w:rPr>
          <w:rFonts w:ascii="Calibri" w:eastAsia="Calibri" w:hAnsi="Calibri" w:cs="Calibri"/>
          <w:b/>
          <w:bCs/>
          <w:lang w:val="pt-BR"/>
        </w:rPr>
        <w:t>{{date}}</w:t>
      </w:r>
      <w:r w:rsidRPr="0089690C">
        <w:rPr>
          <w:rFonts w:ascii="Calibri" w:eastAsia="Calibri" w:hAnsi="Calibri" w:cs="Calibri"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br/>
      </w:r>
      <w:proofErr w:type="spellStart"/>
      <w:r w:rsidRPr="0089690C">
        <w:rPr>
          <w:rFonts w:ascii="Calibri" w:eastAsia="Calibri" w:hAnsi="Calibri" w:cs="Calibri"/>
          <w:b/>
          <w:bCs/>
          <w:lang w:val="pt-BR"/>
        </w:rPr>
        <w:t>Bienestar</w:t>
      </w:r>
      <w:proofErr w:type="spellEnd"/>
      <w:r w:rsidRPr="0089690C">
        <w:rPr>
          <w:rFonts w:ascii="Calibri" w:eastAsia="Calibri" w:hAnsi="Calibri" w:cs="Calibri"/>
          <w:b/>
          <w:bCs/>
          <w:lang w:val="pt-BR"/>
        </w:rPr>
        <w:t xml:space="preserve"> - Terapias Biofísicas</w:t>
      </w:r>
      <w:r w:rsidRPr="0089690C">
        <w:rPr>
          <w:rFonts w:ascii="Calibri" w:eastAsia="Calibri" w:hAnsi="Calibri" w:cs="Calibri"/>
          <w:b/>
          <w:bCs/>
          <w:lang w:val="pt-BR"/>
        </w:rPr>
        <w:br/>
      </w:r>
      <w:r w:rsidRPr="0089690C">
        <w:rPr>
          <w:rFonts w:ascii="Calibri" w:eastAsia="Calibri" w:hAnsi="Calibri" w:cs="Calibri"/>
          <w:lang w:val="pt-BR"/>
        </w:rPr>
        <w:t>Rua Nabuco de Araújo, 28 - Boqueirão, Santos/SP</w:t>
      </w:r>
      <w:r w:rsidRPr="0089690C">
        <w:rPr>
          <w:rFonts w:ascii="Calibri" w:eastAsia="Calibri" w:hAnsi="Calibri" w:cs="Calibri"/>
          <w:lang w:val="pt-BR"/>
        </w:rPr>
        <w:br/>
        <w:t>Email: bienestarsantos@gmail.com | Instagram: @bienestarsantos  -    WhatsApp: (13) 99147-4404</w:t>
      </w:r>
    </w:p>
    <w:sectPr w:rsidR="002245BB" w:rsidRPr="0089690C">
      <w:type w:val="continuous"/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73A13" w14:textId="77777777" w:rsidR="006B1081" w:rsidRDefault="006B1081">
      <w:pPr>
        <w:spacing w:after="0" w:line="240" w:lineRule="auto"/>
      </w:pPr>
      <w:r>
        <w:separator/>
      </w:r>
    </w:p>
  </w:endnote>
  <w:endnote w:type="continuationSeparator" w:id="0">
    <w:p w14:paraId="66F4438D" w14:textId="77777777" w:rsidR="006B1081" w:rsidRDefault="006B1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1D1E3CB-BA86-47E3-8B87-E7367F3E94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F23CDD-6622-48D1-8B72-EAB5AE62E806}"/>
    <w:embedBold r:id="rId3" w:fontKey="{A8CF53E0-E5AD-4DF9-AB22-A339913E65A4}"/>
    <w:embedItalic r:id="rId4" w:fontKey="{3B80B486-D66E-4A58-B121-4649D84540D0}"/>
    <w:embedBoldItalic r:id="rId5" w:fontKey="{DF5A30A0-C250-448B-A09D-D9DBAECC21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CAE18BB-7C34-448E-AC1A-66A359C813FB}"/>
    <w:embedBold r:id="rId7" w:fontKey="{CE66781E-28EB-445D-A97A-A6559C8CDCCF}"/>
    <w:embedItalic r:id="rId8" w:fontKey="{6DC5AABF-7D40-4C75-8BDD-E579F149E1DC}"/>
    <w:embedBoldItalic r:id="rId9" w:fontKey="{F5BA0F2A-C50D-42CB-96FE-196FE080CB16}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5C784" w14:textId="77777777" w:rsidR="006B1081" w:rsidRDefault="006B1081">
      <w:pPr>
        <w:spacing w:after="0" w:line="240" w:lineRule="auto"/>
      </w:pPr>
      <w:r>
        <w:separator/>
      </w:r>
    </w:p>
  </w:footnote>
  <w:footnote w:type="continuationSeparator" w:id="0">
    <w:p w14:paraId="399F0B10" w14:textId="77777777" w:rsidR="006B1081" w:rsidRDefault="006B1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A3A32" w14:textId="77777777" w:rsidR="002245BB" w:rsidRDefault="002C33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Página </w:t>
    </w:r>
    <w:r>
      <w:rPr>
        <w:rFonts w:ascii="Calibri" w:eastAsia="Calibri" w:hAnsi="Calibri" w:cs="Calibri"/>
        <w:b/>
        <w:bCs/>
        <w:color w:val="000000"/>
      </w:rPr>
      <w:fldChar w:fldCharType="begin"/>
    </w:r>
    <w:r>
      <w:rPr>
        <w:rFonts w:ascii="Calibri" w:eastAsia="Calibri" w:hAnsi="Calibri" w:cs="Calibri"/>
        <w:b/>
        <w:bCs/>
        <w:color w:val="000000"/>
      </w:rPr>
      <w:instrText>PAGE</w:instrText>
    </w:r>
    <w:r>
      <w:rPr>
        <w:rFonts w:ascii="Calibri" w:eastAsia="Calibri" w:hAnsi="Calibri" w:cs="Calibri"/>
        <w:b/>
        <w:bCs/>
        <w:color w:val="000000"/>
      </w:rPr>
      <w:fldChar w:fldCharType="separate"/>
    </w:r>
    <w:r w:rsidR="00A95B71">
      <w:rPr>
        <w:rFonts w:ascii="Calibri" w:eastAsia="Calibri" w:hAnsi="Calibri" w:cs="Calibri"/>
        <w:b/>
        <w:bCs/>
        <w:noProof/>
        <w:color w:val="000000"/>
      </w:rPr>
      <w:t>1</w:t>
    </w:r>
    <w:r>
      <w:rPr>
        <w:rFonts w:ascii="Calibri" w:eastAsia="Calibri" w:hAnsi="Calibri" w:cs="Calibri"/>
        <w:b/>
        <w:bCs/>
        <w:color w:val="000000"/>
      </w:rPr>
      <w:fldChar w:fldCharType="end"/>
    </w:r>
    <w:r>
      <w:rPr>
        <w:rFonts w:ascii="Calibri" w:eastAsia="Calibri" w:hAnsi="Calibri" w:cs="Calibri"/>
        <w:color w:val="000000"/>
      </w:rPr>
      <w:t xml:space="preserve"> de </w:t>
    </w:r>
    <w:r>
      <w:rPr>
        <w:rFonts w:ascii="Calibri" w:eastAsia="Calibri" w:hAnsi="Calibri" w:cs="Calibri"/>
        <w:b/>
        <w:bCs/>
        <w:color w:val="000000"/>
      </w:rPr>
      <w:fldChar w:fldCharType="begin"/>
    </w:r>
    <w:r>
      <w:rPr>
        <w:rFonts w:ascii="Calibri" w:eastAsia="Calibri" w:hAnsi="Calibri" w:cs="Calibri"/>
        <w:b/>
        <w:bCs/>
        <w:color w:val="000000"/>
      </w:rPr>
      <w:instrText>NUMPAGES</w:instrText>
    </w:r>
    <w:r>
      <w:rPr>
        <w:rFonts w:ascii="Calibri" w:eastAsia="Calibri" w:hAnsi="Calibri" w:cs="Calibri"/>
        <w:b/>
        <w:bCs/>
        <w:color w:val="000000"/>
      </w:rPr>
      <w:fldChar w:fldCharType="separate"/>
    </w:r>
    <w:r w:rsidR="00A95B71">
      <w:rPr>
        <w:rFonts w:ascii="Calibri" w:eastAsia="Calibri" w:hAnsi="Calibri" w:cs="Calibri"/>
        <w:b/>
        <w:bCs/>
        <w:noProof/>
        <w:color w:val="000000"/>
      </w:rPr>
      <w:t>2</w:t>
    </w:r>
    <w:r>
      <w:rPr>
        <w:rFonts w:ascii="Calibri" w:eastAsia="Calibri" w:hAnsi="Calibri" w:cs="Calibri"/>
        <w:b/>
        <w:bCs/>
        <w:color w:val="000000"/>
      </w:rPr>
      <w:fldChar w:fldCharType="end"/>
    </w:r>
  </w:p>
  <w:p w14:paraId="6B8745CF" w14:textId="77777777" w:rsidR="002245BB" w:rsidRDefault="002245B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332"/>
    <w:multiLevelType w:val="hybridMultilevel"/>
    <w:tmpl w:val="C480DF40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164F2"/>
    <w:multiLevelType w:val="hybridMultilevel"/>
    <w:tmpl w:val="F1DC35C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C46135"/>
    <w:multiLevelType w:val="multilevel"/>
    <w:tmpl w:val="E48A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E3B7E"/>
    <w:multiLevelType w:val="multilevel"/>
    <w:tmpl w:val="24FE91DC"/>
    <w:lvl w:ilvl="0">
      <w:start w:val="1"/>
      <w:numFmt w:val="bullet"/>
      <w:pStyle w:val="Commarcadores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91717">
    <w:abstractNumId w:val="3"/>
  </w:num>
  <w:num w:numId="2" w16cid:durableId="1982074806">
    <w:abstractNumId w:val="0"/>
  </w:num>
  <w:num w:numId="3" w16cid:durableId="1331131189">
    <w:abstractNumId w:val="1"/>
  </w:num>
  <w:num w:numId="4" w16cid:durableId="197239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5BB"/>
    <w:rsid w:val="000311EE"/>
    <w:rsid w:val="000751B7"/>
    <w:rsid w:val="00151758"/>
    <w:rsid w:val="00195CA6"/>
    <w:rsid w:val="001E0AC8"/>
    <w:rsid w:val="002245BB"/>
    <w:rsid w:val="002326C8"/>
    <w:rsid w:val="002509AC"/>
    <w:rsid w:val="002C337D"/>
    <w:rsid w:val="002C7D3F"/>
    <w:rsid w:val="00323A10"/>
    <w:rsid w:val="003D34C6"/>
    <w:rsid w:val="00462A86"/>
    <w:rsid w:val="005269AB"/>
    <w:rsid w:val="00571370"/>
    <w:rsid w:val="005845DA"/>
    <w:rsid w:val="005D1C03"/>
    <w:rsid w:val="00616C91"/>
    <w:rsid w:val="00620C1F"/>
    <w:rsid w:val="00647C80"/>
    <w:rsid w:val="006B1081"/>
    <w:rsid w:val="007303CB"/>
    <w:rsid w:val="00746AFA"/>
    <w:rsid w:val="007B2C46"/>
    <w:rsid w:val="008363AA"/>
    <w:rsid w:val="00841E0E"/>
    <w:rsid w:val="008463C6"/>
    <w:rsid w:val="008745FD"/>
    <w:rsid w:val="00891C21"/>
    <w:rsid w:val="0089690C"/>
    <w:rsid w:val="008972C0"/>
    <w:rsid w:val="008A7B2F"/>
    <w:rsid w:val="008F267F"/>
    <w:rsid w:val="00900B74"/>
    <w:rsid w:val="0090446C"/>
    <w:rsid w:val="00937C33"/>
    <w:rsid w:val="00965A73"/>
    <w:rsid w:val="009B6E1B"/>
    <w:rsid w:val="009C200C"/>
    <w:rsid w:val="009C4C74"/>
    <w:rsid w:val="00A4026D"/>
    <w:rsid w:val="00A41842"/>
    <w:rsid w:val="00A80BBA"/>
    <w:rsid w:val="00A95B71"/>
    <w:rsid w:val="00AC1F97"/>
    <w:rsid w:val="00AE0710"/>
    <w:rsid w:val="00B353B6"/>
    <w:rsid w:val="00B51299"/>
    <w:rsid w:val="00BA34DB"/>
    <w:rsid w:val="00BD43A7"/>
    <w:rsid w:val="00BE0685"/>
    <w:rsid w:val="00BE08EB"/>
    <w:rsid w:val="00C46F6E"/>
    <w:rsid w:val="00C6709B"/>
    <w:rsid w:val="00C750BC"/>
    <w:rsid w:val="00CC1B94"/>
    <w:rsid w:val="00CE5731"/>
    <w:rsid w:val="00D016C5"/>
    <w:rsid w:val="00DB2B80"/>
    <w:rsid w:val="00E04BE8"/>
    <w:rsid w:val="00E47570"/>
    <w:rsid w:val="00E5115E"/>
    <w:rsid w:val="00E64CF8"/>
    <w:rsid w:val="00F418E3"/>
    <w:rsid w:val="00F5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8532E"/>
  <w15:docId w15:val="{40E14FC0-CCB5-417B-ACD1-C00565B3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  <w:rsid w:val="00FC693F"/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relative">
    <w:name w:val="relative"/>
    <w:basedOn w:val="Fontepargpadro"/>
    <w:rsid w:val="002165D5"/>
  </w:style>
  <w:style w:type="table" w:customStyle="1" w:styleId="a6">
    <w:basedOn w:val="TableNormalf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e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e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e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c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c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a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c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elacomgrade1">
    <w:name w:val="Tabela com grade1"/>
    <w:basedOn w:val="Tabelanormal"/>
    <w:next w:val="Tabelacomgrade"/>
    <w:uiPriority w:val="59"/>
    <w:rsid w:val="00017E2F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2">
    <w:basedOn w:val="TableNormala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a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8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8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5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b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47BD8"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Rh6qB16YFgczjzxyVSGtOW3B2w==">CgMxLjAyDmguMWMxb2N3Z3B1MzR3Mg5oLmF2eTVmMmJlM2UwbDgAciExSkJZOWw4YnlDYUdQMC1mdi1EZV9mdEFUSW9OQ1FiQnQ=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1145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Leonardo Leme Sanner</cp:lastModifiedBy>
  <cp:revision>38</cp:revision>
  <dcterms:created xsi:type="dcterms:W3CDTF">2025-11-27T00:36:00Z</dcterms:created>
  <dcterms:modified xsi:type="dcterms:W3CDTF">2025-12-21T12:02:00Z</dcterms:modified>
</cp:coreProperties>
</file>