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{name}}</w:t>
      </w:r>
    </w:p>
    <w:p w14:paraId="09FF9D10" w14:textId="77777777" w:rsidR="00B353B6" w:rsidRPr="009E3C9C" w:rsidRDefault="00B353B6" w:rsidP="00B353B6">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ANÁLISE BIOENERGÉTICA E BIORRESSONÂNCIA</w:t>
      </w:r>
    </w:p>
    <w:p w14:paraId="4A2AACBB"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231668F"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Os padrões observados podem indicar estresse celular (sobrecarga das células), resposta inflamatória (ativação do sistema de defesa) e, quando persistentes, desequilíbrios biológicos que afetam sistemas como o digestivo, imunológico, hormonal e nervoso. A análise contribui para compreender esses processos e orientar cuidados integrativos.</w:t>
      </w:r>
    </w:p>
    <w:p w14:paraId="1A2E788A" w14:textId="77777777" w:rsidR="00740152" w:rsidRDefault="00B353B6" w:rsidP="00740152">
      <w:pPr>
        <w:tabs>
          <w:tab w:val="left" w:pos="3165"/>
        </w:tabs>
        <w:rPr>
          <w:rFonts w:ascii="Calibri" w:eastAsia="Calibri" w:hAnsi="Calibri" w:cs="Calibri"/>
          <w:b/>
          <w:bCs/>
          <w:lang w:val="pt-BR"/>
        </w:rPr>
      </w:pPr>
      <w:r>
        <w:rPr>
          <w:rFonts w:ascii="Calibri" w:eastAsia="Calibri" w:hAnsi="Calibri" w:cs="Calibri"/>
          <w:b/>
          <w:bCs/>
          <w:lang w:val="pt-BR"/>
        </w:rPr>
        <w:t xml:space="preserve">2. </w:t>
      </w:r>
      <w:r w:rsidRPr="009E3C9C">
        <w:rPr>
          <w:rFonts w:ascii="Calibri" w:eastAsia="Calibri" w:hAnsi="Calibri" w:cs="Calibri"/>
          <w:b/>
          <w:bCs/>
          <w:lang w:val="pt-BR"/>
        </w:rPr>
        <w:t>CATEGORIAS DA ANÁLISE</w:t>
      </w:r>
    </w:p>
    <w:p w14:paraId="241BE1D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2.1. Patologias </w:t>
      </w:r>
      <w:r w:rsidRPr="00740152">
        <w:rPr>
          <w:rFonts w:ascii="Calibri" w:eastAsia="Calibri" w:hAnsi="Calibri" w:cs="Calibri"/>
          <w:lang w:val="pt-BR"/>
        </w:rPr>
        <w:t>- identifica tendências funcionais associadas a possíveis patologias ativas ou em potencial, sem caráter diagnóstico. Esses achados indicam áreas de sobrecarga ou desequilíbrio, auxiliando na prevenção e no direcionamento de cuidados integrativos.</w:t>
      </w:r>
    </w:p>
    <w:p w14:paraId="5CB2A9C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2.2. Microrganismos </w:t>
      </w:r>
      <w:r w:rsidRPr="00740152">
        <w:rPr>
          <w:rFonts w:ascii="Calibri" w:eastAsia="Calibri" w:hAnsi="Calibri" w:cs="Calibri"/>
          <w:lang w:val="pt-BR"/>
        </w:rPr>
        <w:t>-  identifica vírus, bactérias, helmintos e protozoários que podem estar afetando o organismo , mas a manifestação varia conforme as particularidades fisiológicas e energéticas individuais, pois podem resultar da combinação sinérgica de cada microrganismo com toxinas  e até mesmo  com fatores psicoemocionais.</w:t>
      </w:r>
    </w:p>
    <w:p w14:paraId="4D2705A3"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2.3. Toxinas  - </w:t>
      </w:r>
      <w:r w:rsidRPr="00740152">
        <w:rPr>
          <w:rFonts w:ascii="Calibri" w:eastAsia="Calibri" w:hAnsi="Calibri" w:cs="Calibri"/>
          <w:lang w:val="pt-BR"/>
        </w:rPr>
        <w:t>identifica metais pesados, solventes, agrotóxicos, xenoestrógenos, radiação e toxinas diversas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6D1024B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2.4. Campo morfogenético - </w:t>
      </w:r>
      <w:r w:rsidRPr="00740152">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1F5D6CE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2.5. Pedras e cristais - </w:t>
      </w:r>
      <w:r w:rsidRPr="00740152">
        <w:rPr>
          <w:rFonts w:ascii="Calibri" w:eastAsia="Calibri" w:hAnsi="Calibri" w:cs="Calibri"/>
          <w:lang w:val="pt-BR"/>
        </w:rPr>
        <w:t>possuem padrões vibracionais estáveis que, no contexto biofísico, podem atuar como suportes externos ao equilíbrio funcional do organismo. A afinidade observada sugere uma tendência à autorregulação, com possível apoio à estabilidade física e emocional.</w:t>
      </w:r>
    </w:p>
    <w:p w14:paraId="5E27AD76"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2.6. Alimentos - </w:t>
      </w:r>
      <w:r w:rsidRPr="00740152">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08B47E50" w14:textId="263A0069" w:rsidR="00B353B6" w:rsidRPr="009E3C9C" w:rsidRDefault="00740152" w:rsidP="00740152">
      <w:pPr>
        <w:tabs>
          <w:tab w:val="left" w:pos="3165"/>
        </w:tabs>
        <w:rPr>
          <w:rFonts w:ascii="Calibri" w:eastAsia="Calibri" w:hAnsi="Calibri" w:cs="Calibri"/>
          <w:b/>
          <w:bCs/>
          <w:lang w:val="pt-BR"/>
        </w:rPr>
      </w:pPr>
      <w:r>
        <w:rPr>
          <w:rFonts w:ascii="Calibri" w:eastAsia="Calibri" w:hAnsi="Calibri" w:cs="Calibri"/>
          <w:b/>
          <w:bCs/>
          <w:lang w:val="pt-BR"/>
        </w:rPr>
        <w:tab/>
      </w:r>
    </w:p>
    <w:p w14:paraId="12F4E874" w14:textId="77777777" w:rsidR="00B353B6" w:rsidRPr="0089690C" w:rsidRDefault="00B353B6" w:rsidP="00B353B6">
      <w:pPr>
        <w:spacing w:after="120" w:line="240" w:lineRule="auto"/>
        <w:rPr>
          <w:rFonts w:ascii="Calibri" w:eastAsia="Calibri" w:hAnsi="Calibri" w:cs="Calibri"/>
          <w:b/>
          <w:bCs/>
          <w:lang w:val="pt-BR"/>
        </w:rPr>
      </w:pPr>
      <w:r w:rsidRPr="0089690C">
        <w:rPr>
          <w:rFonts w:ascii="Calibri" w:eastAsia="Calibri" w:hAnsi="Calibri" w:cs="Calibri"/>
          <w:b/>
          <w:bCs/>
          <w:lang w:val="pt-BR"/>
        </w:rPr>
        <w:t>3. INTERPRETAÇÃO DOS  RESULTADOS DAS ANÁLISES</w:t>
      </w:r>
    </w:p>
    <w:p w14:paraId="2DE0AFD3"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u w:val="single"/>
          <w:lang w:val="pt-BR"/>
        </w:rPr>
        <w:t>D  é o índice de divergência ou grau de desvio</w:t>
      </w:r>
      <w:r w:rsidRPr="00D90BC1">
        <w:rPr>
          <w:rFonts w:ascii="Calibri" w:eastAsia="Calibri" w:hAnsi="Calibri" w:cs="Calibri"/>
          <w:lang w:val="pt-BR"/>
        </w:rPr>
        <w:t xml:space="preserve"> entre o padrão de frequência ideal de um órgão, tecido, microrganismo ou substância e a frequência detectada no paciente.  </w:t>
      </w:r>
    </w:p>
    <w:p w14:paraId="1FC60EDE" w14:textId="77777777" w:rsidR="00D90BC1" w:rsidRPr="00D90BC1" w:rsidRDefault="00D90BC1" w:rsidP="00D90BC1">
      <w:pPr>
        <w:spacing w:after="120" w:line="240" w:lineRule="auto"/>
        <w:rPr>
          <w:rFonts w:ascii="Calibri" w:eastAsia="Calibri" w:hAnsi="Calibri" w:cs="Calibri"/>
          <w:lang w:val="pt-BR"/>
        </w:rPr>
      </w:pPr>
    </w:p>
    <w:p w14:paraId="6A3235E2" w14:textId="4A7C55AE" w:rsid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 sistema ProSync</w:t>
      </w:r>
      <w:r w:rsidRPr="00D90BC1">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7028413F" w14:textId="77777777" w:rsidR="00D90BC1" w:rsidRPr="00D90BC1" w:rsidRDefault="00D90BC1" w:rsidP="00D90BC1">
      <w:pPr>
        <w:spacing w:after="120" w:line="240" w:lineRule="auto"/>
        <w:rPr>
          <w:rFonts w:ascii="Calibri" w:eastAsia="Calibri" w:hAnsi="Calibri" w:cs="Calibri"/>
          <w:lang w:val="pt-BR"/>
        </w:rPr>
      </w:pPr>
    </w:p>
    <w:p w14:paraId="2349FE30"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Nos sistemas Oberon/Meta Hunter</w:t>
      </w:r>
      <w:r w:rsidRPr="00D90BC1">
        <w:rPr>
          <w:rFonts w:ascii="Calibri" w:eastAsia="Calibri" w:hAnsi="Calibri" w:cs="Calibri"/>
          <w:lang w:val="pt-BR"/>
        </w:rPr>
        <w:t xml:space="preserve">, os resultados da análise seguem as indicações abaixo: </w:t>
      </w:r>
    </w:p>
    <w:tbl>
      <w:tblPr>
        <w:tblStyle w:val="affffffff2"/>
        <w:tblW w:w="10485" w:type="dxa"/>
        <w:tblInd w:w="-5" w:type="dxa"/>
        <w:tblLayout w:type="fixed"/>
        <w:tblLook w:val="0400" w:firstRow="0" w:lastRow="0" w:firstColumn="0" w:lastColumn="0" w:noHBand="0" w:noVBand="1"/>
      </w:tblPr>
      <w:tblGrid>
        <w:gridCol w:w="1423"/>
        <w:gridCol w:w="1417"/>
        <w:gridCol w:w="7645"/>
      </w:tblGrid>
      <w:tr w:rsidR="002245BB" w14:paraId="63C1CC09" w14:textId="77777777">
        <w:tc>
          <w:tcPr>
            <w:tcW w:w="1423" w:type="dxa"/>
            <w:shd w:val="clear" w:color="auto" w:fill="D9D9D9"/>
          </w:tcPr>
          <w:p w14:paraId="7DA1D38C" w14:textId="77777777" w:rsidR="002245BB" w:rsidRDefault="002C337D">
            <w:pPr>
              <w:spacing w:after="0" w:line="240" w:lineRule="auto"/>
              <w:jc w:val="center"/>
              <w:rPr>
                <w:rFonts w:ascii="Calibri" w:eastAsia="Calibri" w:hAnsi="Calibri" w:cs="Calibri"/>
              </w:rPr>
            </w:pPr>
            <w:r>
              <w:rPr>
                <w:rFonts w:ascii="Calibri" w:eastAsia="Calibri" w:hAnsi="Calibri" w:cs="Calibri"/>
              </w:rPr>
              <w:t>Aspectos</w:t>
            </w:r>
          </w:p>
        </w:tc>
        <w:tc>
          <w:tcPr>
            <w:tcW w:w="1417" w:type="dxa"/>
            <w:shd w:val="clear" w:color="auto" w:fill="D9D9D9"/>
            <w:tcMar>
              <w:top w:w="0" w:type="dxa"/>
              <w:left w:w="108" w:type="dxa"/>
              <w:bottom w:w="0" w:type="dxa"/>
              <w:right w:w="108" w:type="dxa"/>
            </w:tcMar>
          </w:tcPr>
          <w:p w14:paraId="443DA595" w14:textId="77777777" w:rsidR="002245BB" w:rsidRDefault="002C337D">
            <w:pPr>
              <w:spacing w:after="0" w:line="240" w:lineRule="auto"/>
              <w:jc w:val="center"/>
              <w:rPr>
                <w:rFonts w:ascii="Calibri" w:eastAsia="Calibri" w:hAnsi="Calibri" w:cs="Calibri"/>
              </w:rPr>
            </w:pPr>
            <w:r>
              <w:rPr>
                <w:rFonts w:ascii="Calibri" w:eastAsia="Calibri" w:hAnsi="Calibri" w:cs="Calibri"/>
              </w:rPr>
              <w:t>D</w:t>
            </w:r>
          </w:p>
        </w:tc>
        <w:tc>
          <w:tcPr>
            <w:tcW w:w="7645" w:type="dxa"/>
            <w:shd w:val="clear" w:color="auto" w:fill="D9D9D9"/>
            <w:tcMar>
              <w:top w:w="0" w:type="dxa"/>
              <w:left w:w="108" w:type="dxa"/>
              <w:bottom w:w="0" w:type="dxa"/>
              <w:right w:w="108" w:type="dxa"/>
            </w:tcMar>
          </w:tcPr>
          <w:p w14:paraId="0C062B8F" w14:textId="77777777" w:rsidR="002245BB" w:rsidRDefault="002C337D">
            <w:pPr>
              <w:spacing w:after="0" w:line="240" w:lineRule="auto"/>
              <w:jc w:val="center"/>
              <w:rPr>
                <w:rFonts w:ascii="Calibri" w:eastAsia="Calibri" w:hAnsi="Calibri" w:cs="Calibri"/>
              </w:rPr>
            </w:pPr>
            <w:r>
              <w:rPr>
                <w:rFonts w:ascii="Calibri" w:eastAsia="Calibri" w:hAnsi="Calibri" w:cs="Calibri"/>
              </w:rPr>
              <w:t>Interpretação</w:t>
            </w:r>
          </w:p>
        </w:tc>
      </w:tr>
      <w:tr w:rsidR="002245BB" w:rsidRPr="00870A3B" w14:paraId="0570A8E2" w14:textId="77777777">
        <w:tc>
          <w:tcPr>
            <w:tcW w:w="1423" w:type="dxa"/>
            <w:vMerge w:val="restart"/>
            <w:vAlign w:val="center"/>
          </w:tcPr>
          <w:p w14:paraId="1CBD733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Microrganismos</w:t>
            </w:r>
          </w:p>
        </w:tc>
        <w:tc>
          <w:tcPr>
            <w:tcW w:w="1417" w:type="dxa"/>
            <w:tcMar>
              <w:top w:w="0" w:type="dxa"/>
              <w:left w:w="108" w:type="dxa"/>
              <w:bottom w:w="0" w:type="dxa"/>
              <w:right w:w="108" w:type="dxa"/>
            </w:tcMar>
          </w:tcPr>
          <w:p w14:paraId="2AFA3883"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 – 0,300</w:t>
            </w:r>
          </w:p>
        </w:tc>
        <w:tc>
          <w:tcPr>
            <w:tcW w:w="7645" w:type="dxa"/>
            <w:tcMar>
              <w:top w:w="0" w:type="dxa"/>
              <w:left w:w="108" w:type="dxa"/>
              <w:bottom w:w="0" w:type="dxa"/>
              <w:right w:w="108" w:type="dxa"/>
            </w:tcMar>
          </w:tcPr>
          <w:p w14:paraId="5C56B528"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Provável presença ativa do microrganismo</w:t>
            </w:r>
          </w:p>
        </w:tc>
      </w:tr>
      <w:tr w:rsidR="002245BB" w:rsidRPr="00870A3B" w14:paraId="7E64E3A3" w14:textId="77777777">
        <w:tc>
          <w:tcPr>
            <w:tcW w:w="1423" w:type="dxa"/>
            <w:vMerge/>
            <w:vAlign w:val="center"/>
          </w:tcPr>
          <w:p w14:paraId="4E0BA86A"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tcMar>
              <w:top w:w="0" w:type="dxa"/>
              <w:left w:w="108" w:type="dxa"/>
              <w:bottom w:w="0" w:type="dxa"/>
              <w:right w:w="108" w:type="dxa"/>
            </w:tcMar>
          </w:tcPr>
          <w:p w14:paraId="3048BAD5"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0,310 – 0,710</w:t>
            </w:r>
          </w:p>
        </w:tc>
        <w:tc>
          <w:tcPr>
            <w:tcW w:w="7645" w:type="dxa"/>
            <w:tcMar>
              <w:top w:w="0" w:type="dxa"/>
              <w:left w:w="108" w:type="dxa"/>
              <w:bottom w:w="0" w:type="dxa"/>
              <w:right w:w="108" w:type="dxa"/>
            </w:tcMar>
          </w:tcPr>
          <w:p w14:paraId="71344C6D"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Possível presença, podendo estar inativo ou em baixa atividade.</w:t>
            </w:r>
          </w:p>
        </w:tc>
      </w:tr>
      <w:tr w:rsidR="002245BB" w:rsidRPr="00870A3B" w14:paraId="564A1B7D" w14:textId="77777777">
        <w:tc>
          <w:tcPr>
            <w:tcW w:w="1423" w:type="dxa"/>
            <w:vMerge/>
            <w:vAlign w:val="center"/>
          </w:tcPr>
          <w:p w14:paraId="7F7DCFBC"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18975251"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 0,710</w:t>
            </w:r>
          </w:p>
        </w:tc>
        <w:tc>
          <w:tcPr>
            <w:tcW w:w="7645" w:type="dxa"/>
            <w:tcMar>
              <w:top w:w="0" w:type="dxa"/>
              <w:left w:w="108" w:type="dxa"/>
              <w:bottom w:w="0" w:type="dxa"/>
              <w:right w:w="108" w:type="dxa"/>
            </w:tcMar>
          </w:tcPr>
          <w:p w14:paraId="003D9A03" w14:textId="77777777" w:rsidR="002245BB" w:rsidRPr="0089690C" w:rsidRDefault="002C337D">
            <w:pPr>
              <w:pBdr>
                <w:top w:val="nil"/>
                <w:left w:val="nil"/>
                <w:bottom w:val="nil"/>
                <w:right w:val="nil"/>
                <w:between w:val="nil"/>
              </w:pBd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Compatibilidade fraca, indicando memória energética ou irrelevante.</w:t>
            </w:r>
          </w:p>
        </w:tc>
      </w:tr>
      <w:tr w:rsidR="002245BB" w:rsidRPr="00870A3B" w14:paraId="0CA4EE7A" w14:textId="77777777">
        <w:trPr>
          <w:trHeight w:val="314"/>
        </w:trPr>
        <w:tc>
          <w:tcPr>
            <w:tcW w:w="1423" w:type="dxa"/>
            <w:vMerge w:val="restart"/>
            <w:shd w:val="clear" w:color="auto" w:fill="D9D9D9"/>
            <w:vAlign w:val="center"/>
          </w:tcPr>
          <w:p w14:paraId="740D5F4D"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Toxinas</w:t>
            </w:r>
          </w:p>
        </w:tc>
        <w:tc>
          <w:tcPr>
            <w:tcW w:w="1417" w:type="dxa"/>
            <w:shd w:val="clear" w:color="auto" w:fill="D9D9D9"/>
            <w:tcMar>
              <w:top w:w="0" w:type="dxa"/>
              <w:left w:w="108" w:type="dxa"/>
              <w:bottom w:w="0" w:type="dxa"/>
              <w:right w:w="108" w:type="dxa"/>
            </w:tcMar>
          </w:tcPr>
          <w:p w14:paraId="400E13D8" w14:textId="174F2F58"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Pr>
          <w:p w14:paraId="771C1D82"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Alta ressonância – forte impacto no organismo. Indica sobrecarga tóxica ou intoxicação ativa.</w:t>
            </w:r>
          </w:p>
        </w:tc>
      </w:tr>
      <w:tr w:rsidR="002245BB" w:rsidRPr="00870A3B" w14:paraId="5D174FCA" w14:textId="77777777">
        <w:trPr>
          <w:trHeight w:val="293"/>
        </w:trPr>
        <w:tc>
          <w:tcPr>
            <w:tcW w:w="1423" w:type="dxa"/>
            <w:vMerge/>
            <w:shd w:val="clear" w:color="auto" w:fill="D9D9D9"/>
            <w:vAlign w:val="center"/>
          </w:tcPr>
          <w:p w14:paraId="2E5D87A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52ACB04" w14:textId="21EAA47F"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Pr>
          <w:p w14:paraId="65BB4A1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Ressonância moderada – há sinais de influência ativa no campo biológico. </w:t>
            </w:r>
          </w:p>
        </w:tc>
      </w:tr>
      <w:tr w:rsidR="002245BB" w:rsidRPr="00870A3B" w14:paraId="2D99B4B0" w14:textId="77777777">
        <w:trPr>
          <w:trHeight w:val="293"/>
        </w:trPr>
        <w:tc>
          <w:tcPr>
            <w:tcW w:w="1423" w:type="dxa"/>
            <w:vMerge/>
            <w:shd w:val="clear" w:color="auto" w:fill="D9D9D9"/>
            <w:vAlign w:val="center"/>
          </w:tcPr>
          <w:p w14:paraId="625CF1F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22BC6F8C"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shd w:val="clear" w:color="auto" w:fill="D9D9D9"/>
          </w:tcPr>
          <w:p w14:paraId="32101245"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Baixa ressonância – possível exposição passada, mas pouco ativa.</w:t>
            </w:r>
          </w:p>
        </w:tc>
      </w:tr>
      <w:tr w:rsidR="002245BB" w14:paraId="1FE92A39" w14:textId="77777777">
        <w:trPr>
          <w:trHeight w:val="293"/>
        </w:trPr>
        <w:tc>
          <w:tcPr>
            <w:tcW w:w="1423" w:type="dxa"/>
            <w:vMerge/>
            <w:shd w:val="clear" w:color="auto" w:fill="D9D9D9"/>
            <w:vAlign w:val="center"/>
          </w:tcPr>
          <w:p w14:paraId="7CB592AF"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CC9401B"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shd w:val="clear" w:color="auto" w:fill="D9D9D9"/>
          </w:tcPr>
          <w:p w14:paraId="2FAD2174"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Não ressoa com o organismo. </w:t>
            </w:r>
            <w:r>
              <w:rPr>
                <w:rFonts w:ascii="Calibri" w:eastAsia="Calibri" w:hAnsi="Calibri" w:cs="Calibri"/>
                <w:sz w:val="20"/>
                <w:szCs w:val="20"/>
              </w:rPr>
              <w:t>Ausência de carga tóxica.</w:t>
            </w:r>
          </w:p>
        </w:tc>
      </w:tr>
      <w:tr w:rsidR="002245BB" w:rsidRPr="00870A3B" w14:paraId="0EC314ED" w14:textId="77777777">
        <w:trPr>
          <w:trHeight w:val="293"/>
        </w:trPr>
        <w:tc>
          <w:tcPr>
            <w:tcW w:w="1423" w:type="dxa"/>
            <w:vMerge w:val="restart"/>
            <w:vAlign w:val="center"/>
          </w:tcPr>
          <w:p w14:paraId="4F058055" w14:textId="77777777" w:rsidR="002245BB" w:rsidRDefault="002C337D">
            <w:pPr>
              <w:widowControl w:val="0"/>
              <w:pBdr>
                <w:top w:val="nil"/>
                <w:left w:val="nil"/>
                <w:bottom w:val="nil"/>
                <w:right w:val="nil"/>
                <w:between w:val="nil"/>
              </w:pBdr>
              <w:spacing w:after="0"/>
              <w:jc w:val="center"/>
              <w:rPr>
                <w:rFonts w:ascii="Calibri" w:eastAsia="Calibri" w:hAnsi="Calibri" w:cs="Calibri"/>
                <w:sz w:val="20"/>
                <w:szCs w:val="20"/>
              </w:rPr>
            </w:pPr>
            <w:r>
              <w:rPr>
                <w:rFonts w:ascii="Calibri" w:eastAsia="Calibri" w:hAnsi="Calibri" w:cs="Calibri"/>
                <w:sz w:val="20"/>
                <w:szCs w:val="20"/>
              </w:rPr>
              <w:t>Campo morfogenético</w:t>
            </w:r>
          </w:p>
        </w:tc>
        <w:tc>
          <w:tcPr>
            <w:tcW w:w="1417" w:type="dxa"/>
            <w:tcMar>
              <w:top w:w="0" w:type="dxa"/>
              <w:left w:w="108" w:type="dxa"/>
              <w:bottom w:w="0" w:type="dxa"/>
              <w:right w:w="108" w:type="dxa"/>
            </w:tcMar>
          </w:tcPr>
          <w:p w14:paraId="21191C7D" w14:textId="69030EEC"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vAlign w:val="center"/>
          </w:tcPr>
          <w:p w14:paraId="5B66B88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ativa e ressoante que está afetando os campos  emocional/mental no momento.</w:t>
            </w:r>
          </w:p>
        </w:tc>
      </w:tr>
      <w:tr w:rsidR="002245BB" w14:paraId="3C918C1C" w14:textId="77777777">
        <w:trPr>
          <w:trHeight w:val="293"/>
        </w:trPr>
        <w:tc>
          <w:tcPr>
            <w:tcW w:w="1423" w:type="dxa"/>
            <w:vMerge/>
            <w:vAlign w:val="center"/>
          </w:tcPr>
          <w:p w14:paraId="6D068CCE"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F54AA55" w14:textId="4D6CB0F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vAlign w:val="center"/>
          </w:tcPr>
          <w:p w14:paraId="5E173D25"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Emoção latente. Ainda exerce influência, embora com menor intensidade. </w:t>
            </w:r>
            <w:r>
              <w:rPr>
                <w:rFonts w:ascii="Calibri" w:eastAsia="Calibri" w:hAnsi="Calibri" w:cs="Calibri"/>
                <w:sz w:val="20"/>
                <w:szCs w:val="20"/>
              </w:rPr>
              <w:t>Pode estar ligada a memórias ou padrões recorrentes.</w:t>
            </w:r>
          </w:p>
        </w:tc>
      </w:tr>
      <w:tr w:rsidR="002245BB" w:rsidRPr="00870A3B" w14:paraId="103009DB" w14:textId="77777777">
        <w:trPr>
          <w:trHeight w:val="293"/>
        </w:trPr>
        <w:tc>
          <w:tcPr>
            <w:tcW w:w="1423" w:type="dxa"/>
            <w:vMerge/>
            <w:vAlign w:val="center"/>
          </w:tcPr>
          <w:p w14:paraId="36B8D594" w14:textId="77777777" w:rsidR="002245BB" w:rsidRDefault="002245BB">
            <w:pPr>
              <w:widowControl w:val="0"/>
              <w:pBdr>
                <w:top w:val="nil"/>
                <w:left w:val="nil"/>
                <w:bottom w:val="nil"/>
                <w:right w:val="nil"/>
                <w:between w:val="nil"/>
              </w:pBdr>
              <w:spacing w:after="0"/>
              <w:rPr>
                <w:rFonts w:ascii="Calibri" w:eastAsia="Calibri" w:hAnsi="Calibri" w:cs="Calibri"/>
                <w:sz w:val="20"/>
                <w:szCs w:val="20"/>
              </w:rPr>
            </w:pPr>
          </w:p>
        </w:tc>
        <w:tc>
          <w:tcPr>
            <w:tcW w:w="1417" w:type="dxa"/>
            <w:tcMar>
              <w:top w:w="0" w:type="dxa"/>
              <w:left w:w="108" w:type="dxa"/>
              <w:bottom w:w="0" w:type="dxa"/>
              <w:right w:w="108" w:type="dxa"/>
            </w:tcMar>
          </w:tcPr>
          <w:p w14:paraId="6BE66C93"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vAlign w:val="center"/>
          </w:tcPr>
          <w:p w14:paraId="01E02D21"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em transição ou enfraquecida. Pode estar sendo processada ou superada.</w:t>
            </w:r>
          </w:p>
        </w:tc>
      </w:tr>
      <w:tr w:rsidR="002245BB" w:rsidRPr="00870A3B" w14:paraId="0735CB60" w14:textId="77777777">
        <w:trPr>
          <w:trHeight w:val="293"/>
        </w:trPr>
        <w:tc>
          <w:tcPr>
            <w:tcW w:w="1423" w:type="dxa"/>
            <w:vMerge/>
            <w:vAlign w:val="center"/>
          </w:tcPr>
          <w:p w14:paraId="1DF6D940"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1F929B2"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vAlign w:val="center"/>
          </w:tcPr>
          <w:p w14:paraId="6EC1430A"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Geralmente não ressoa mais com o campo atual. Foi ressignificada e/ou superada.</w:t>
            </w:r>
          </w:p>
        </w:tc>
      </w:tr>
      <w:tr w:rsidR="002245BB" w:rsidRPr="00870A3B" w14:paraId="12F0B65C" w14:textId="77777777">
        <w:tc>
          <w:tcPr>
            <w:tcW w:w="1423" w:type="dxa"/>
            <w:vMerge w:val="restart"/>
            <w:shd w:val="clear" w:color="auto" w:fill="D9D9D9"/>
            <w:vAlign w:val="center"/>
          </w:tcPr>
          <w:p w14:paraId="35C7D55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Alimentos</w:t>
            </w:r>
          </w:p>
        </w:tc>
        <w:tc>
          <w:tcPr>
            <w:tcW w:w="1417" w:type="dxa"/>
            <w:shd w:val="clear" w:color="auto" w:fill="D9D9D9"/>
            <w:tcMar>
              <w:top w:w="0" w:type="dxa"/>
              <w:left w:w="108" w:type="dxa"/>
              <w:bottom w:w="0" w:type="dxa"/>
              <w:right w:w="108" w:type="dxa"/>
            </w:tcMar>
          </w:tcPr>
          <w:p w14:paraId="4E50AF5E" w14:textId="3E22CB61"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Mar>
              <w:top w:w="0" w:type="dxa"/>
              <w:left w:w="108" w:type="dxa"/>
              <w:bottom w:w="0" w:type="dxa"/>
              <w:right w:w="108" w:type="dxa"/>
            </w:tcMar>
            <w:vAlign w:val="center"/>
          </w:tcPr>
          <w:p w14:paraId="0864828B"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Altamente compatível – alimento benéfico, harmonizador.</w:t>
            </w:r>
          </w:p>
        </w:tc>
      </w:tr>
      <w:tr w:rsidR="002245BB" w:rsidRPr="00870A3B" w14:paraId="052B73CB" w14:textId="77777777">
        <w:tc>
          <w:tcPr>
            <w:tcW w:w="1423" w:type="dxa"/>
            <w:vMerge/>
            <w:shd w:val="clear" w:color="auto" w:fill="D9D9D9"/>
            <w:vAlign w:val="center"/>
          </w:tcPr>
          <w:p w14:paraId="3790B32D"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5369153" w14:textId="73A8A224"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Mar>
              <w:top w:w="0" w:type="dxa"/>
              <w:left w:w="108" w:type="dxa"/>
              <w:bottom w:w="0" w:type="dxa"/>
              <w:right w:w="108" w:type="dxa"/>
            </w:tcMar>
            <w:vAlign w:val="center"/>
          </w:tcPr>
          <w:p w14:paraId="5971FE09"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Compatível – pode ser consumido com moderação.</w:t>
            </w:r>
          </w:p>
        </w:tc>
      </w:tr>
      <w:tr w:rsidR="002245BB" w:rsidRPr="00870A3B" w14:paraId="51767719" w14:textId="77777777">
        <w:trPr>
          <w:trHeight w:val="265"/>
        </w:trPr>
        <w:tc>
          <w:tcPr>
            <w:tcW w:w="1423" w:type="dxa"/>
            <w:vMerge/>
            <w:shd w:val="clear" w:color="auto" w:fill="D9D9D9"/>
            <w:vAlign w:val="center"/>
          </w:tcPr>
          <w:p w14:paraId="6F05E206"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FBCF19F"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0,710 -1,000</w:t>
            </w:r>
          </w:p>
        </w:tc>
        <w:tc>
          <w:tcPr>
            <w:tcW w:w="7645" w:type="dxa"/>
            <w:shd w:val="clear" w:color="auto" w:fill="D9D9D9"/>
            <w:tcMar>
              <w:top w:w="0" w:type="dxa"/>
              <w:left w:w="108" w:type="dxa"/>
              <w:bottom w:w="0" w:type="dxa"/>
              <w:right w:w="108" w:type="dxa"/>
            </w:tcMar>
            <w:vAlign w:val="center"/>
          </w:tcPr>
          <w:p w14:paraId="1E8E3AE7"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Pouco compatível – pode gerar leve estresse biológico.</w:t>
            </w:r>
          </w:p>
        </w:tc>
      </w:tr>
      <w:tr w:rsidR="002245BB" w:rsidRPr="00870A3B" w14:paraId="2A565934" w14:textId="77777777">
        <w:tc>
          <w:tcPr>
            <w:tcW w:w="1423" w:type="dxa"/>
            <w:vMerge/>
            <w:shd w:val="clear" w:color="auto" w:fill="D9D9D9"/>
            <w:vAlign w:val="center"/>
          </w:tcPr>
          <w:p w14:paraId="48C3E95A"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1EDBF16C"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&gt;1,000</w:t>
            </w:r>
          </w:p>
        </w:tc>
        <w:tc>
          <w:tcPr>
            <w:tcW w:w="7645" w:type="dxa"/>
            <w:shd w:val="clear" w:color="auto" w:fill="D9D9D9"/>
            <w:tcMar>
              <w:top w:w="0" w:type="dxa"/>
              <w:left w:w="108" w:type="dxa"/>
              <w:bottom w:w="0" w:type="dxa"/>
              <w:right w:w="108" w:type="dxa"/>
            </w:tcMar>
            <w:vAlign w:val="center"/>
          </w:tcPr>
          <w:p w14:paraId="76C979E6"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Incompatível – potencial alergênico, inflamatório ou intoxicante.</w:t>
            </w:r>
          </w:p>
        </w:tc>
      </w:tr>
    </w:tbl>
    <w:p w14:paraId="4D47F7CF" w14:textId="77777777" w:rsidR="00820EE5" w:rsidRPr="002158CA" w:rsidRDefault="00820EE5" w:rsidP="005D794B">
      <w:pPr>
        <w:rPr>
          <w:rFonts w:ascii="Calibri" w:eastAsia="Calibri" w:hAnsi="Calibri" w:cs="Calibri"/>
          <w:b/>
          <w:bCs/>
          <w:lang w:val="pt-BR"/>
        </w:rPr>
      </w:pPr>
    </w:p>
    <w:p w14:paraId="1A236C26" w14:textId="3301207C" w:rsidR="001D7F8F" w:rsidRDefault="002C337D" w:rsidP="005D794B">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_patologies</w:t>
            </w:r>
            <w:r>
              <w:rPr>
                <w:rFonts w:ascii="Calibri" w:eastAsia="Calibri" w:hAnsi="Calibri" w:cs="Calibri"/>
              </w:rPr>
              <w:t>.items()%}</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{%tr endfor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62588">
        <w:trPr>
          <w:trHeight w:val="279"/>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for item in table_microorganism%}</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w:t>
            </w:r>
            <w:r w:rsidR="008B3332">
              <w:rPr>
                <w:rFonts w:ascii="Calibri" w:eastAsia="Calibri" w:hAnsi="Calibri" w:cs="Calibri"/>
              </w:rPr>
              <w:t>{{item.tipo}}</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{{item.sintomas}}</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{{item.D}}</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6B1D9045" w14:textId="77777777" w:rsidR="00082D96" w:rsidRDefault="00082D9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7059E5">
        <w:trPr>
          <w:trHeight w:val="279"/>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for item in tab</w:t>
            </w:r>
            <w:r>
              <w:rPr>
                <w:rFonts w:ascii="Calibri" w:eastAsia="Calibri" w:hAnsi="Calibri" w:cs="Calibri"/>
              </w:rPr>
              <w:t>le_prosync</w:t>
            </w:r>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{{item.tipo}} </w:t>
            </w:r>
            <w:r w:rsidRPr="00A97510">
              <w:rPr>
                <w:rFonts w:ascii="Calibri" w:eastAsia="Calibri" w:hAnsi="Calibri" w:cs="Calibri"/>
              </w:rPr>
              <w:t>–</w:t>
            </w:r>
            <w:r>
              <w:rPr>
                <w:rFonts w:ascii="Calibri" w:eastAsia="Calibri" w:hAnsi="Calibri" w:cs="Calibri"/>
              </w:rPr>
              <w:t xml:space="preserve"> {{item.sintomas}}</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{{item.D}}</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A97510">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{%tr for item in table_toxins%}</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{{item.nome}}</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{{item.efeitos}}</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{{item.D}}</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{%tr endfor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A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64024A">
            <w:pPr>
              <w:widowControl w:val="0"/>
              <w:spacing w:after="0"/>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in table_</w:t>
            </w:r>
            <w:r>
              <w:rPr>
                <w:rFonts w:ascii="Calibri" w:eastAsia="Calibri" w:hAnsi="Calibri" w:cs="Calibri"/>
              </w:rPr>
              <w:t>food</w:t>
            </w:r>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870A3B">
              <w:rPr>
                <w:rFonts w:ascii="Calibri" w:eastAsia="Calibri" w:hAnsi="Calibri" w:cs="Calibri"/>
              </w:rPr>
              <w:t>row</w:t>
            </w:r>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w:t>
            </w:r>
            <w:r w:rsidR="007A55E0">
              <w:rPr>
                <w:rFonts w:ascii="Calibri" w:eastAsia="Calibri" w:hAnsi="Calibri" w:cs="Calibri"/>
              </w:rPr>
              <w:t>row[</w:t>
            </w:r>
            <w:r w:rsidR="007A55E0">
              <w:rPr>
                <w:rFonts w:ascii="Calibri" w:eastAsia="Calibri" w:hAnsi="Calibri" w:cs="Calibri"/>
              </w:rPr>
              <w:t>1</w:t>
            </w:r>
            <w:r w:rsidR="007A55E0">
              <w:rPr>
                <w:rFonts w:ascii="Calibri" w:eastAsia="Calibri" w:hAnsi="Calibri" w:cs="Calibri"/>
              </w:rPr>
              <w:t>]</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row[2]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w:t>
            </w:r>
            <w:r w:rsidR="007A55E0">
              <w:rPr>
                <w:rFonts w:ascii="Calibri" w:eastAsia="Calibri" w:hAnsi="Calibri" w:cs="Calibri"/>
              </w:rPr>
              <w:t>row[</w:t>
            </w:r>
            <w:r w:rsidR="007A55E0">
              <w:rPr>
                <w:rFonts w:ascii="Calibri" w:eastAsia="Calibri" w:hAnsi="Calibri" w:cs="Calibri"/>
              </w:rPr>
              <w:t>3</w:t>
            </w:r>
            <w:r w:rsidR="007A55E0">
              <w:rPr>
                <w:rFonts w:ascii="Calibri" w:eastAsia="Calibri" w:hAnsi="Calibri" w:cs="Calibri"/>
              </w:rPr>
              <w:t>]</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w:t>
            </w:r>
            <w:r w:rsidR="007A55E0">
              <w:rPr>
                <w:rFonts w:ascii="Calibri" w:eastAsia="Calibri" w:hAnsi="Calibri" w:cs="Calibri"/>
              </w:rPr>
              <w:t>row[</w:t>
            </w:r>
            <w:r w:rsidR="007A55E0">
              <w:rPr>
                <w:rFonts w:ascii="Calibri" w:eastAsia="Calibri" w:hAnsi="Calibri" w:cs="Calibri"/>
              </w:rPr>
              <w:t>4</w:t>
            </w:r>
            <w:r w:rsidR="007A55E0">
              <w:rPr>
                <w:rFonts w:ascii="Calibri" w:eastAsia="Calibri" w:hAnsi="Calibri" w:cs="Calibri"/>
              </w:rPr>
              <w:t>]</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w:t>
            </w:r>
            <w:r w:rsidR="007A55E0">
              <w:rPr>
                <w:rFonts w:ascii="Calibri" w:eastAsia="Calibri" w:hAnsi="Calibri" w:cs="Calibri"/>
              </w:rPr>
              <w:t>row[</w:t>
            </w:r>
            <w:r w:rsidR="007A55E0">
              <w:rPr>
                <w:rFonts w:ascii="Calibri" w:eastAsia="Calibri" w:hAnsi="Calibri" w:cs="Calibri"/>
              </w:rPr>
              <w:t>5</w:t>
            </w:r>
            <w:r w:rsidR="007A55E0">
              <w:rPr>
                <w:rFonts w:ascii="Calibri" w:eastAsia="Calibri" w:hAnsi="Calibri" w:cs="Calibri"/>
              </w:rPr>
              <w:t>]</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{%tr endfor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870A3B"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870A3B"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{%tr for k, v in table_emotions.items()%}</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{%tr endfor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{%tr for item in table_crystals%}</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{{item.cristal}}</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{{item.beneficios_fisicos}}</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{{item.beneficios_emocionais}}</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{{item.D}}</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{%tr endfor%}</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Pr="0089690C">
        <w:rPr>
          <w:rFonts w:ascii="Calibri" w:eastAsia="Calibri" w:hAnsi="Calibri" w:cs="Calibri"/>
          <w:b/>
          <w:bCs/>
          <w:lang w:val="pt-BR"/>
        </w:rPr>
        <w:t>Bienestar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@bienestarsantos  -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64955" w14:textId="77777777" w:rsidR="00C07271" w:rsidRDefault="00C07271">
      <w:pPr>
        <w:spacing w:after="0" w:line="240" w:lineRule="auto"/>
      </w:pPr>
      <w:r>
        <w:separator/>
      </w:r>
    </w:p>
  </w:endnote>
  <w:endnote w:type="continuationSeparator" w:id="0">
    <w:p w14:paraId="23DC5D34" w14:textId="77777777" w:rsidR="00C07271" w:rsidRDefault="00C07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B22EC687-3EE2-4D40-926D-0724076914F2}"/>
  </w:font>
  <w:font w:name="Cambria">
    <w:panose1 w:val="02040503050406030204"/>
    <w:charset w:val="00"/>
    <w:family w:val="roman"/>
    <w:pitch w:val="variable"/>
    <w:sig w:usb0="E00006FF" w:usb1="420024FF" w:usb2="02000000" w:usb3="00000000" w:csb0="0000019F" w:csb1="00000000"/>
    <w:embedRegular r:id="rId2" w:fontKey="{466AECD1-77CD-4F28-91E0-A5709CF21880}"/>
    <w:embedBold r:id="rId3" w:fontKey="{C5C78EEA-8990-4F68-80A7-38256A7055B1}"/>
    <w:embedItalic r:id="rId4" w:fontKey="{67E2685C-73AF-4C3E-B476-71AD550226ED}"/>
    <w:embedBoldItalic r:id="rId5" w:fontKey="{DE512DE9-A14B-41C3-9F52-9A75640C4941}"/>
  </w:font>
  <w:font w:name="Calibri">
    <w:panose1 w:val="020F0502020204030204"/>
    <w:charset w:val="00"/>
    <w:family w:val="swiss"/>
    <w:pitch w:val="variable"/>
    <w:sig w:usb0="E4002EFF" w:usb1="C200247B" w:usb2="00000009" w:usb3="00000000" w:csb0="000001FF" w:csb1="00000000"/>
    <w:embedRegular r:id="rId6" w:fontKey="{DB21396A-706B-406D-BF2D-93389096B8B4}"/>
    <w:embedBold r:id="rId7" w:fontKey="{D9071772-6FDE-465C-9136-CA82344712DF}"/>
    <w:embedItalic r:id="rId8" w:fontKey="{D6422D30-38B5-40A3-AFA3-947F68E1C63A}"/>
    <w:embedBoldItalic r:id="rId9" w:fontKey="{F0A03B82-D680-459B-B403-AA4C73E5E14E}"/>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41C6" w14:textId="77777777" w:rsidR="00C07271" w:rsidRDefault="00C07271">
      <w:pPr>
        <w:spacing w:after="0" w:line="240" w:lineRule="auto"/>
      </w:pPr>
      <w:r>
        <w:separator/>
      </w:r>
    </w:p>
  </w:footnote>
  <w:footnote w:type="continuationSeparator" w:id="0">
    <w:p w14:paraId="3DFBB669" w14:textId="77777777" w:rsidR="00C07271" w:rsidRDefault="00C07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51758"/>
    <w:rsid w:val="00195CA6"/>
    <w:rsid w:val="001D7F8F"/>
    <w:rsid w:val="001E0AC8"/>
    <w:rsid w:val="001E571E"/>
    <w:rsid w:val="002158CA"/>
    <w:rsid w:val="002245BB"/>
    <w:rsid w:val="002326C8"/>
    <w:rsid w:val="002509AC"/>
    <w:rsid w:val="002C333E"/>
    <w:rsid w:val="002C337D"/>
    <w:rsid w:val="002C7D3F"/>
    <w:rsid w:val="00311B86"/>
    <w:rsid w:val="00323A10"/>
    <w:rsid w:val="003D34C6"/>
    <w:rsid w:val="0041796B"/>
    <w:rsid w:val="00462A86"/>
    <w:rsid w:val="004865CC"/>
    <w:rsid w:val="004B5377"/>
    <w:rsid w:val="005269AB"/>
    <w:rsid w:val="00571370"/>
    <w:rsid w:val="005845DA"/>
    <w:rsid w:val="005D1C03"/>
    <w:rsid w:val="005D794B"/>
    <w:rsid w:val="005F06BA"/>
    <w:rsid w:val="00616C91"/>
    <w:rsid w:val="00620C1F"/>
    <w:rsid w:val="0064024A"/>
    <w:rsid w:val="00647C80"/>
    <w:rsid w:val="006B1081"/>
    <w:rsid w:val="006D66FD"/>
    <w:rsid w:val="007059E5"/>
    <w:rsid w:val="007303CB"/>
    <w:rsid w:val="00740152"/>
    <w:rsid w:val="00746AFA"/>
    <w:rsid w:val="007A55E0"/>
    <w:rsid w:val="007B2C46"/>
    <w:rsid w:val="00801B80"/>
    <w:rsid w:val="00820EE5"/>
    <w:rsid w:val="008363AA"/>
    <w:rsid w:val="00841E0E"/>
    <w:rsid w:val="008463C6"/>
    <w:rsid w:val="00870A3B"/>
    <w:rsid w:val="008745FD"/>
    <w:rsid w:val="00891C21"/>
    <w:rsid w:val="0089690C"/>
    <w:rsid w:val="008972C0"/>
    <w:rsid w:val="008A7B2F"/>
    <w:rsid w:val="008B3332"/>
    <w:rsid w:val="008F267F"/>
    <w:rsid w:val="00900B74"/>
    <w:rsid w:val="0090446C"/>
    <w:rsid w:val="00937C33"/>
    <w:rsid w:val="00962588"/>
    <w:rsid w:val="00965A73"/>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33A60"/>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3</Pages>
  <Words>1073</Words>
  <Characters>5800</Characters>
  <Application>Microsoft Office Word</Application>
  <DocSecurity>0</DocSecurity>
  <Lines>48</Lines>
  <Paragraphs>13</Paragraphs>
  <ScaleCrop>false</ScaleCrop>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64</cp:revision>
  <dcterms:created xsi:type="dcterms:W3CDTF">2025-11-27T00:36:00Z</dcterms:created>
  <dcterms:modified xsi:type="dcterms:W3CDTF">2026-01-06T12:09:00Z</dcterms:modified>
</cp:coreProperties>
</file>