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105FC5F" w14:textId="77777777" w:rsidR="006F6853" w:rsidRPr="006F6853" w:rsidRDefault="006F6853" w:rsidP="006F6853">
      <w:pPr>
        <w:rPr>
          <w:rFonts w:ascii="Calibri" w:eastAsia="Calibri" w:hAnsi="Calibri" w:cs="Calibri"/>
          <w:lang w:val="pt-BR"/>
        </w:rPr>
      </w:pPr>
      <w:r w:rsidRPr="006F6853">
        <w:rPr>
          <w:rFonts w:ascii="Calibri" w:eastAsia="Calibri" w:hAnsi="Calibri" w:cs="Calibri"/>
          <w:lang w:val="pt-BR"/>
        </w:rPr>
        <w:t xml:space="preserve">A </w:t>
      </w:r>
      <w:proofErr w:type="spellStart"/>
      <w:r w:rsidRPr="006F6853">
        <w:rPr>
          <w:rFonts w:ascii="Calibri" w:eastAsia="Calibri" w:hAnsi="Calibri" w:cs="Calibri"/>
          <w:lang w:val="pt-BR"/>
        </w:rPr>
        <w:t>biorressonância</w:t>
      </w:r>
      <w:proofErr w:type="spellEnd"/>
      <w:r w:rsidRPr="006F6853">
        <w:rPr>
          <w:rFonts w:ascii="Calibri" w:eastAsia="Calibri" w:hAnsi="Calibri" w:cs="Calibri"/>
          <w:lang w:val="pt-BR"/>
        </w:rPr>
        <w:t xml:space="preserve">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9584150"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2.1. Patologias </w:t>
      </w:r>
      <w:r w:rsidRPr="006F6853">
        <w:rPr>
          <w:rFonts w:ascii="Calibri" w:eastAsia="Calibri" w:hAnsi="Calibri" w:cs="Calibri"/>
          <w:lang w:val="pt-BR"/>
        </w:rPr>
        <w:t>– identifica possíveis patologias ativas ou em potência ao localizar áreas de sobrecarga ou desequilíbrio, auxiliando na prevenção e no direcionamento de cuidados integrativos.</w:t>
      </w:r>
    </w:p>
    <w:p w14:paraId="19CE6285"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2.2. Microrganismos </w:t>
      </w:r>
      <w:proofErr w:type="gramStart"/>
      <w:r w:rsidRPr="006F6853">
        <w:rPr>
          <w:rFonts w:ascii="Calibri" w:eastAsia="Calibri" w:hAnsi="Calibri" w:cs="Calibri"/>
          <w:lang w:val="pt-BR"/>
        </w:rPr>
        <w:t>-  identifica</w:t>
      </w:r>
      <w:proofErr w:type="gramEnd"/>
      <w:r w:rsidRPr="006F6853">
        <w:rPr>
          <w:rFonts w:ascii="Calibri" w:eastAsia="Calibri" w:hAnsi="Calibri" w:cs="Calibri"/>
          <w:lang w:val="pt-BR"/>
        </w:rPr>
        <w:t xml:space="preserve">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1DA65499"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2.3. Toxinas - </w:t>
      </w:r>
      <w:r w:rsidRPr="006F6853">
        <w:rPr>
          <w:rFonts w:ascii="Calibri" w:eastAsia="Calibri" w:hAnsi="Calibri" w:cs="Calibri"/>
          <w:lang w:val="pt-BR"/>
        </w:rPr>
        <w:t xml:space="preserve">identifica metais pesados, solventes, agrotóxicos, </w:t>
      </w:r>
      <w:proofErr w:type="spellStart"/>
      <w:r w:rsidRPr="006F6853">
        <w:rPr>
          <w:rFonts w:ascii="Calibri" w:eastAsia="Calibri" w:hAnsi="Calibri" w:cs="Calibri"/>
          <w:lang w:val="pt-BR"/>
        </w:rPr>
        <w:t>xenoestrógenos</w:t>
      </w:r>
      <w:proofErr w:type="spellEnd"/>
      <w:r w:rsidRPr="006F6853">
        <w:rPr>
          <w:rFonts w:ascii="Calibri" w:eastAsia="Calibri" w:hAnsi="Calibri" w:cs="Calibr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1108219D"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2.4. Campo </w:t>
      </w:r>
      <w:proofErr w:type="spellStart"/>
      <w:r w:rsidRPr="006F6853">
        <w:rPr>
          <w:rFonts w:ascii="Calibri" w:eastAsia="Calibri" w:hAnsi="Calibri" w:cs="Calibri"/>
          <w:b/>
          <w:bCs/>
          <w:lang w:val="pt-BR"/>
        </w:rPr>
        <w:t>morfogenético</w:t>
      </w:r>
      <w:proofErr w:type="spellEnd"/>
      <w:r w:rsidRPr="006F6853">
        <w:rPr>
          <w:rFonts w:ascii="Calibri" w:eastAsia="Calibri" w:hAnsi="Calibri" w:cs="Calibri"/>
          <w:b/>
          <w:bCs/>
          <w:lang w:val="pt-BR"/>
        </w:rPr>
        <w:t xml:space="preserve"> - </w:t>
      </w:r>
      <w:r w:rsidRPr="006F6853">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7FFE4811"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2.5. Pedras e cristais - </w:t>
      </w:r>
      <w:r w:rsidRPr="006F6853">
        <w:rPr>
          <w:rFonts w:ascii="Calibri" w:eastAsia="Calibri" w:hAnsi="Calibri" w:cs="Calibri"/>
          <w:lang w:val="pt-BR"/>
        </w:rPr>
        <w:t>possuem padrões vibracionais estáveis que, no contexto biofísico, podem atuar como suportes externos ao equilíbrio funcional do organismo. A afinidade observada sugere um possível apoio à estabilidade física e emocional.</w:t>
      </w:r>
    </w:p>
    <w:p w14:paraId="591FB1AE"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2.6. Alimentos - </w:t>
      </w:r>
      <w:r w:rsidRPr="006F6853">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2F5FC5D8"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u w:val="single"/>
          <w:lang w:val="pt-BR"/>
        </w:rPr>
        <w:t>D é o índice de divergência ou grau de desvio</w:t>
      </w:r>
      <w:r w:rsidRPr="006F6853">
        <w:rPr>
          <w:rFonts w:ascii="Calibri" w:eastAsia="Calibri" w:hAnsi="Calibri" w:cs="Calibri"/>
          <w:lang w:val="pt-BR"/>
        </w:rPr>
        <w:t xml:space="preserve"> entre o padrão de frequência ideal de um órgão, tecido, microrganismo ou substância e a frequência detectada no paciente.  </w:t>
      </w:r>
    </w:p>
    <w:p w14:paraId="0835AC17"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 xml:space="preserve">No sistema </w:t>
      </w:r>
      <w:proofErr w:type="spellStart"/>
      <w:r w:rsidRPr="006F6853">
        <w:rPr>
          <w:rFonts w:ascii="Calibri" w:eastAsia="Calibri" w:hAnsi="Calibri" w:cs="Calibri"/>
          <w:b/>
          <w:bCs/>
          <w:lang w:val="pt-BR"/>
        </w:rPr>
        <w:t>ProSync</w:t>
      </w:r>
      <w:proofErr w:type="spellEnd"/>
      <w:r w:rsidRPr="006F6853">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E179FD0"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NLS</w:t>
      </w:r>
      <w:r w:rsidRPr="006F6853">
        <w:rPr>
          <w:rFonts w:ascii="Calibri" w:eastAsia="Calibri" w:hAnsi="Calibri" w:cs="Calibri"/>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107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20"/>
        <w:gridCol w:w="1530"/>
        <w:gridCol w:w="7623"/>
      </w:tblGrid>
      <w:tr w:rsidR="006F6853" w:rsidRPr="001C702A" w14:paraId="351224B9" w14:textId="77777777" w:rsidTr="0058405A">
        <w:tc>
          <w:tcPr>
            <w:tcW w:w="1620" w:type="dxa"/>
            <w:shd w:val="clear" w:color="auto" w:fill="D9D9D9"/>
          </w:tcPr>
          <w:p w14:paraId="1E5AB311"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lastRenderedPageBreak/>
              <w:t>Aspectos</w:t>
            </w:r>
            <w:proofErr w:type="spellEnd"/>
          </w:p>
        </w:tc>
        <w:tc>
          <w:tcPr>
            <w:tcW w:w="1530" w:type="dxa"/>
            <w:shd w:val="clear" w:color="auto" w:fill="D9D9D9"/>
            <w:tcMar>
              <w:top w:w="0" w:type="dxa"/>
              <w:left w:w="108" w:type="dxa"/>
              <w:bottom w:w="0" w:type="dxa"/>
              <w:right w:w="108" w:type="dxa"/>
            </w:tcMar>
          </w:tcPr>
          <w:p w14:paraId="1894574A" w14:textId="77777777" w:rsidR="006F6853" w:rsidRPr="001C702A" w:rsidRDefault="006F6853" w:rsidP="0058405A">
            <w:pPr>
              <w:spacing w:after="0" w:line="240" w:lineRule="auto"/>
              <w:jc w:val="center"/>
              <w:rPr>
                <w:rFonts w:ascii="Calibri" w:eastAsia="Calibri" w:hAnsi="Calibri" w:cs="Calibri"/>
              </w:rPr>
            </w:pPr>
            <w:r w:rsidRPr="001C702A">
              <w:rPr>
                <w:rFonts w:ascii="Calibri" w:eastAsia="Calibri" w:hAnsi="Calibri" w:cs="Calibri"/>
              </w:rPr>
              <w:t>D</w:t>
            </w:r>
          </w:p>
        </w:tc>
        <w:tc>
          <w:tcPr>
            <w:tcW w:w="7623" w:type="dxa"/>
            <w:shd w:val="clear" w:color="auto" w:fill="D9D9D9"/>
            <w:tcMar>
              <w:top w:w="0" w:type="dxa"/>
              <w:left w:w="108" w:type="dxa"/>
              <w:bottom w:w="0" w:type="dxa"/>
              <w:right w:w="108" w:type="dxa"/>
            </w:tcMar>
          </w:tcPr>
          <w:p w14:paraId="0DE569A2"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t>Interpretação</w:t>
            </w:r>
            <w:proofErr w:type="spellEnd"/>
          </w:p>
        </w:tc>
      </w:tr>
      <w:tr w:rsidR="006F6853" w:rsidRPr="004F0C9C" w14:paraId="107740D9" w14:textId="77777777" w:rsidTr="0058405A">
        <w:tc>
          <w:tcPr>
            <w:tcW w:w="1620" w:type="dxa"/>
            <w:vMerge w:val="restart"/>
            <w:vAlign w:val="center"/>
          </w:tcPr>
          <w:p w14:paraId="1417A1E1"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Microrganismos</w:t>
            </w:r>
            <w:proofErr w:type="spellEnd"/>
          </w:p>
        </w:tc>
        <w:tc>
          <w:tcPr>
            <w:tcW w:w="1530" w:type="dxa"/>
            <w:tcMar>
              <w:top w:w="0" w:type="dxa"/>
              <w:left w:w="108" w:type="dxa"/>
              <w:bottom w:w="0" w:type="dxa"/>
              <w:right w:w="108" w:type="dxa"/>
            </w:tcMar>
          </w:tcPr>
          <w:p w14:paraId="69A9F1F4"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37B406D7"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Provável presença ativa do microrganismo.</w:t>
            </w:r>
          </w:p>
        </w:tc>
      </w:tr>
      <w:tr w:rsidR="006F6853" w:rsidRPr="004F0C9C" w14:paraId="0333F9B3" w14:textId="77777777" w:rsidTr="0058405A">
        <w:tc>
          <w:tcPr>
            <w:tcW w:w="1620" w:type="dxa"/>
            <w:vMerge/>
            <w:vAlign w:val="center"/>
          </w:tcPr>
          <w:p w14:paraId="49FF7709"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tcMar>
              <w:top w:w="0" w:type="dxa"/>
              <w:left w:w="108" w:type="dxa"/>
              <w:bottom w:w="0" w:type="dxa"/>
              <w:right w:w="108" w:type="dxa"/>
            </w:tcMar>
          </w:tcPr>
          <w:p w14:paraId="68866291"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0,310 – 0,710</w:t>
            </w:r>
          </w:p>
        </w:tc>
        <w:tc>
          <w:tcPr>
            <w:tcW w:w="7623" w:type="dxa"/>
            <w:tcMar>
              <w:top w:w="0" w:type="dxa"/>
              <w:left w:w="108" w:type="dxa"/>
              <w:bottom w:w="0" w:type="dxa"/>
              <w:right w:w="108" w:type="dxa"/>
            </w:tcMar>
          </w:tcPr>
          <w:p w14:paraId="06804DC4"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Possível presença, podendo estar inativo ou em baixa atividade.</w:t>
            </w:r>
          </w:p>
        </w:tc>
      </w:tr>
      <w:tr w:rsidR="006F6853" w:rsidRPr="004F0C9C" w14:paraId="17ED697F" w14:textId="77777777" w:rsidTr="0058405A">
        <w:tc>
          <w:tcPr>
            <w:tcW w:w="1620" w:type="dxa"/>
            <w:vMerge/>
            <w:vAlign w:val="center"/>
          </w:tcPr>
          <w:p w14:paraId="7BFF02EB"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11FE8BD"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 0,710</w:t>
            </w:r>
          </w:p>
        </w:tc>
        <w:tc>
          <w:tcPr>
            <w:tcW w:w="7623" w:type="dxa"/>
            <w:tcMar>
              <w:top w:w="0" w:type="dxa"/>
              <w:left w:w="108" w:type="dxa"/>
              <w:bottom w:w="0" w:type="dxa"/>
              <w:right w:w="108" w:type="dxa"/>
            </w:tcMar>
          </w:tcPr>
          <w:p w14:paraId="40304C57"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Compatibilidade fraca, indicando memória energética ou irrelevante.</w:t>
            </w:r>
          </w:p>
        </w:tc>
      </w:tr>
      <w:tr w:rsidR="006F6853" w:rsidRPr="004F0C9C" w14:paraId="7145A8AC" w14:textId="77777777" w:rsidTr="0058405A">
        <w:trPr>
          <w:trHeight w:val="314"/>
        </w:trPr>
        <w:tc>
          <w:tcPr>
            <w:tcW w:w="1620" w:type="dxa"/>
            <w:vMerge w:val="restart"/>
            <w:shd w:val="clear" w:color="auto" w:fill="D9D9D9"/>
            <w:vAlign w:val="center"/>
          </w:tcPr>
          <w:p w14:paraId="09F4DB72"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Toxinas</w:t>
            </w:r>
            <w:proofErr w:type="spellEnd"/>
          </w:p>
        </w:tc>
        <w:tc>
          <w:tcPr>
            <w:tcW w:w="1530" w:type="dxa"/>
            <w:shd w:val="clear" w:color="auto" w:fill="D9D9D9"/>
            <w:tcMar>
              <w:top w:w="0" w:type="dxa"/>
              <w:left w:w="108" w:type="dxa"/>
              <w:bottom w:w="0" w:type="dxa"/>
              <w:right w:w="108" w:type="dxa"/>
            </w:tcMar>
          </w:tcPr>
          <w:p w14:paraId="119361A2"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shd w:val="clear" w:color="auto" w:fill="D9D9D9"/>
          </w:tcPr>
          <w:p w14:paraId="5E1546B0"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Alta ressonância – forte impacto no organismo. Indica sobrecarga tóxica ou intoxicação ativa.</w:t>
            </w:r>
          </w:p>
        </w:tc>
      </w:tr>
      <w:tr w:rsidR="006F6853" w:rsidRPr="004F0C9C" w14:paraId="512A4585" w14:textId="77777777" w:rsidTr="0058405A">
        <w:trPr>
          <w:trHeight w:val="293"/>
        </w:trPr>
        <w:tc>
          <w:tcPr>
            <w:tcW w:w="1620" w:type="dxa"/>
            <w:vMerge/>
            <w:shd w:val="clear" w:color="auto" w:fill="D9D9D9"/>
            <w:vAlign w:val="center"/>
          </w:tcPr>
          <w:p w14:paraId="1864CD6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6E2929F5"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shd w:val="clear" w:color="auto" w:fill="D9D9D9"/>
          </w:tcPr>
          <w:p w14:paraId="3C3B7CA9"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Ressonância moderada – há sinais de influência ativa no campo biológico. </w:t>
            </w:r>
          </w:p>
        </w:tc>
      </w:tr>
      <w:tr w:rsidR="006F6853" w:rsidRPr="004F0C9C" w14:paraId="055E2534" w14:textId="77777777" w:rsidTr="0058405A">
        <w:trPr>
          <w:trHeight w:val="293"/>
        </w:trPr>
        <w:tc>
          <w:tcPr>
            <w:tcW w:w="1620" w:type="dxa"/>
            <w:vMerge/>
            <w:shd w:val="clear" w:color="auto" w:fill="D9D9D9"/>
            <w:vAlign w:val="center"/>
          </w:tcPr>
          <w:p w14:paraId="5DB9EF42"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11C9F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shd w:val="clear" w:color="auto" w:fill="D9D9D9"/>
          </w:tcPr>
          <w:p w14:paraId="020E9B0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Baixa ressonância – possível exposição passada, mas pouco ativa.</w:t>
            </w:r>
          </w:p>
        </w:tc>
      </w:tr>
      <w:tr w:rsidR="006F6853" w:rsidRPr="001C702A" w14:paraId="0FEAC936" w14:textId="77777777" w:rsidTr="0058405A">
        <w:trPr>
          <w:trHeight w:val="293"/>
        </w:trPr>
        <w:tc>
          <w:tcPr>
            <w:tcW w:w="1620" w:type="dxa"/>
            <w:vMerge/>
            <w:shd w:val="clear" w:color="auto" w:fill="D9D9D9"/>
            <w:vAlign w:val="center"/>
          </w:tcPr>
          <w:p w14:paraId="07C5DE37"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CEA8F6E"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shd w:val="clear" w:color="auto" w:fill="D9D9D9"/>
          </w:tcPr>
          <w:p w14:paraId="5D8D4707"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Não ressoa com o organismo. </w:t>
            </w:r>
            <w:proofErr w:type="spellStart"/>
            <w:r w:rsidRPr="001C702A">
              <w:rPr>
                <w:rFonts w:ascii="Calibri" w:eastAsia="Calibri" w:hAnsi="Calibri" w:cs="Calibri"/>
                <w:sz w:val="20"/>
                <w:szCs w:val="20"/>
              </w:rPr>
              <w:t>Ausência</w:t>
            </w:r>
            <w:proofErr w:type="spellEnd"/>
            <w:r w:rsidRPr="001C702A">
              <w:rPr>
                <w:rFonts w:ascii="Calibri" w:eastAsia="Calibri" w:hAnsi="Calibri" w:cs="Calibri"/>
                <w:sz w:val="20"/>
                <w:szCs w:val="20"/>
              </w:rPr>
              <w:t xml:space="preserve"> de carga </w:t>
            </w:r>
            <w:proofErr w:type="spellStart"/>
            <w:r w:rsidRPr="001C702A">
              <w:rPr>
                <w:rFonts w:ascii="Calibri" w:eastAsia="Calibri" w:hAnsi="Calibri" w:cs="Calibri"/>
                <w:sz w:val="20"/>
                <w:szCs w:val="20"/>
              </w:rPr>
              <w:t>tóxica</w:t>
            </w:r>
            <w:proofErr w:type="spellEnd"/>
            <w:r w:rsidRPr="001C702A">
              <w:rPr>
                <w:rFonts w:ascii="Calibri" w:eastAsia="Calibri" w:hAnsi="Calibri" w:cs="Calibri"/>
                <w:sz w:val="20"/>
                <w:szCs w:val="20"/>
              </w:rPr>
              <w:t>.</w:t>
            </w:r>
          </w:p>
        </w:tc>
      </w:tr>
      <w:tr w:rsidR="006F6853" w:rsidRPr="004F0C9C" w14:paraId="5559150C" w14:textId="77777777" w:rsidTr="0058405A">
        <w:trPr>
          <w:trHeight w:val="293"/>
        </w:trPr>
        <w:tc>
          <w:tcPr>
            <w:tcW w:w="1620" w:type="dxa"/>
            <w:vMerge w:val="restart"/>
            <w:vAlign w:val="center"/>
          </w:tcPr>
          <w:p w14:paraId="3D35E526"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r w:rsidRPr="001C702A">
              <w:rPr>
                <w:rFonts w:ascii="Calibri" w:eastAsia="Calibri" w:hAnsi="Calibri" w:cs="Calibri"/>
                <w:sz w:val="20"/>
                <w:szCs w:val="20"/>
              </w:rPr>
              <w:t xml:space="preserve">Campo </w:t>
            </w:r>
            <w:proofErr w:type="spellStart"/>
            <w:r w:rsidRPr="001C702A">
              <w:rPr>
                <w:rFonts w:ascii="Calibri" w:eastAsia="Calibri" w:hAnsi="Calibri" w:cs="Calibri"/>
                <w:sz w:val="20"/>
                <w:szCs w:val="20"/>
              </w:rPr>
              <w:t>morfogenético</w:t>
            </w:r>
            <w:proofErr w:type="spellEnd"/>
          </w:p>
        </w:tc>
        <w:tc>
          <w:tcPr>
            <w:tcW w:w="1530" w:type="dxa"/>
            <w:tcMar>
              <w:top w:w="0" w:type="dxa"/>
              <w:left w:w="108" w:type="dxa"/>
              <w:bottom w:w="0" w:type="dxa"/>
              <w:right w:w="108" w:type="dxa"/>
            </w:tcMar>
          </w:tcPr>
          <w:p w14:paraId="57A4B6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vAlign w:val="center"/>
          </w:tcPr>
          <w:p w14:paraId="64E8E2FE"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 xml:space="preserve">Emoção ativa e ressoante que está afetando os </w:t>
            </w:r>
            <w:proofErr w:type="gramStart"/>
            <w:r w:rsidRPr="006F6853">
              <w:rPr>
                <w:rFonts w:ascii="Calibri" w:eastAsia="Calibri" w:hAnsi="Calibri" w:cs="Calibri"/>
                <w:sz w:val="20"/>
                <w:szCs w:val="20"/>
                <w:lang w:val="pt-BR"/>
              </w:rPr>
              <w:t>campos  emocional</w:t>
            </w:r>
            <w:proofErr w:type="gramEnd"/>
            <w:r w:rsidRPr="006F6853">
              <w:rPr>
                <w:rFonts w:ascii="Calibri" w:eastAsia="Calibri" w:hAnsi="Calibri" w:cs="Calibri"/>
                <w:sz w:val="20"/>
                <w:szCs w:val="20"/>
                <w:lang w:val="pt-BR"/>
              </w:rPr>
              <w:t>/mental no momento.</w:t>
            </w:r>
          </w:p>
        </w:tc>
      </w:tr>
      <w:tr w:rsidR="006F6853" w:rsidRPr="001C702A" w14:paraId="42C676C4" w14:textId="77777777" w:rsidTr="0058405A">
        <w:trPr>
          <w:trHeight w:val="293"/>
        </w:trPr>
        <w:tc>
          <w:tcPr>
            <w:tcW w:w="1620" w:type="dxa"/>
            <w:vMerge/>
            <w:vAlign w:val="center"/>
          </w:tcPr>
          <w:p w14:paraId="558940F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D8EABF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vAlign w:val="center"/>
          </w:tcPr>
          <w:p w14:paraId="3566C5FE"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Emoção latente. Ainda exerce influência, embora com menor intensidade. </w:t>
            </w:r>
            <w:r w:rsidRPr="001C702A">
              <w:rPr>
                <w:rFonts w:ascii="Calibri" w:eastAsia="Calibri" w:hAnsi="Calibri" w:cs="Calibri"/>
                <w:sz w:val="20"/>
                <w:szCs w:val="20"/>
              </w:rPr>
              <w:t xml:space="preserve">Pode </w:t>
            </w:r>
            <w:proofErr w:type="spellStart"/>
            <w:r w:rsidRPr="001C702A">
              <w:rPr>
                <w:rFonts w:ascii="Calibri" w:eastAsia="Calibri" w:hAnsi="Calibri" w:cs="Calibri"/>
                <w:sz w:val="20"/>
                <w:szCs w:val="20"/>
              </w:rPr>
              <w:t>estar</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ligada</w:t>
            </w:r>
            <w:proofErr w:type="spellEnd"/>
            <w:r w:rsidRPr="001C702A">
              <w:rPr>
                <w:rFonts w:ascii="Calibri" w:eastAsia="Calibri" w:hAnsi="Calibri" w:cs="Calibri"/>
                <w:sz w:val="20"/>
                <w:szCs w:val="20"/>
              </w:rPr>
              <w:t xml:space="preserve"> a </w:t>
            </w:r>
            <w:proofErr w:type="spellStart"/>
            <w:r w:rsidRPr="001C702A">
              <w:rPr>
                <w:rFonts w:ascii="Calibri" w:eastAsia="Calibri" w:hAnsi="Calibri" w:cs="Calibri"/>
                <w:sz w:val="20"/>
                <w:szCs w:val="20"/>
              </w:rPr>
              <w:t>memórias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ou</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padrões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recorrentes</w:t>
            </w:r>
            <w:proofErr w:type="spellEnd"/>
            <w:r w:rsidRPr="001C702A">
              <w:rPr>
                <w:rFonts w:ascii="Calibri" w:eastAsia="Calibri" w:hAnsi="Calibri" w:cs="Calibri"/>
                <w:sz w:val="20"/>
                <w:szCs w:val="20"/>
              </w:rPr>
              <w:t>.</w:t>
            </w:r>
          </w:p>
        </w:tc>
      </w:tr>
      <w:tr w:rsidR="006F6853" w:rsidRPr="004F0C9C" w14:paraId="2996B0F9" w14:textId="77777777" w:rsidTr="0058405A">
        <w:trPr>
          <w:trHeight w:val="293"/>
        </w:trPr>
        <w:tc>
          <w:tcPr>
            <w:tcW w:w="1620" w:type="dxa"/>
            <w:vMerge/>
            <w:vAlign w:val="center"/>
          </w:tcPr>
          <w:p w14:paraId="52C720B5"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
        </w:tc>
        <w:tc>
          <w:tcPr>
            <w:tcW w:w="1530" w:type="dxa"/>
            <w:tcMar>
              <w:top w:w="0" w:type="dxa"/>
              <w:left w:w="108" w:type="dxa"/>
              <w:bottom w:w="0" w:type="dxa"/>
              <w:right w:w="108" w:type="dxa"/>
            </w:tcMar>
          </w:tcPr>
          <w:p w14:paraId="3C3EA1F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vAlign w:val="center"/>
          </w:tcPr>
          <w:p w14:paraId="49D91F6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Emoção em transição ou enfraquecida. Pode estar sendo processada ou superada.</w:t>
            </w:r>
          </w:p>
        </w:tc>
      </w:tr>
      <w:tr w:rsidR="006F6853" w:rsidRPr="004F0C9C" w14:paraId="2FC79964" w14:textId="77777777" w:rsidTr="0058405A">
        <w:trPr>
          <w:trHeight w:val="293"/>
        </w:trPr>
        <w:tc>
          <w:tcPr>
            <w:tcW w:w="1620" w:type="dxa"/>
            <w:vMerge/>
            <w:vAlign w:val="center"/>
          </w:tcPr>
          <w:p w14:paraId="1510124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49A1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vAlign w:val="center"/>
          </w:tcPr>
          <w:p w14:paraId="46290C3F"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Geralmente não ressoa mais com o campo atual. Foi ressignificada e/ou superada.</w:t>
            </w:r>
          </w:p>
        </w:tc>
      </w:tr>
      <w:tr w:rsidR="006F6853" w:rsidRPr="004F0C9C" w14:paraId="7ED282DD" w14:textId="77777777" w:rsidTr="0058405A">
        <w:tc>
          <w:tcPr>
            <w:tcW w:w="1620" w:type="dxa"/>
            <w:vMerge w:val="restart"/>
            <w:shd w:val="clear" w:color="auto" w:fill="D9D9D9"/>
            <w:vAlign w:val="center"/>
          </w:tcPr>
          <w:p w14:paraId="17545644"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Alimentos</w:t>
            </w:r>
          </w:p>
        </w:tc>
        <w:tc>
          <w:tcPr>
            <w:tcW w:w="1530" w:type="dxa"/>
            <w:shd w:val="clear" w:color="auto" w:fill="D9D9D9"/>
            <w:tcMar>
              <w:top w:w="0" w:type="dxa"/>
              <w:left w:w="108" w:type="dxa"/>
              <w:bottom w:w="0" w:type="dxa"/>
              <w:right w:w="108" w:type="dxa"/>
            </w:tcMar>
          </w:tcPr>
          <w:p w14:paraId="197E2661"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shd w:val="clear" w:color="auto" w:fill="D9D9D9"/>
            <w:tcMar>
              <w:top w:w="0" w:type="dxa"/>
              <w:left w:w="108" w:type="dxa"/>
              <w:bottom w:w="0" w:type="dxa"/>
              <w:right w:w="108" w:type="dxa"/>
            </w:tcMar>
            <w:vAlign w:val="center"/>
          </w:tcPr>
          <w:p w14:paraId="17930925"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Altamente compatível – alimento benéfico, harmonizador.</w:t>
            </w:r>
          </w:p>
        </w:tc>
      </w:tr>
      <w:tr w:rsidR="006F6853" w:rsidRPr="004F0C9C" w14:paraId="7B5CA741" w14:textId="77777777" w:rsidTr="0058405A">
        <w:tc>
          <w:tcPr>
            <w:tcW w:w="1620" w:type="dxa"/>
            <w:vMerge/>
            <w:shd w:val="clear" w:color="auto" w:fill="D9D9D9"/>
            <w:vAlign w:val="center"/>
          </w:tcPr>
          <w:p w14:paraId="6CF361D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4FFDD4EA"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0,300 – 0,700</w:t>
            </w:r>
          </w:p>
        </w:tc>
        <w:tc>
          <w:tcPr>
            <w:tcW w:w="7623" w:type="dxa"/>
            <w:shd w:val="clear" w:color="auto" w:fill="D9D9D9"/>
            <w:tcMar>
              <w:top w:w="0" w:type="dxa"/>
              <w:left w:w="108" w:type="dxa"/>
              <w:bottom w:w="0" w:type="dxa"/>
              <w:right w:w="108" w:type="dxa"/>
            </w:tcMar>
            <w:vAlign w:val="center"/>
          </w:tcPr>
          <w:p w14:paraId="57DE046D"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Compatível – pode ser consumido com moderação.</w:t>
            </w:r>
          </w:p>
        </w:tc>
      </w:tr>
      <w:tr w:rsidR="006F6853" w:rsidRPr="004F0C9C" w14:paraId="03091ED9" w14:textId="77777777" w:rsidTr="0058405A">
        <w:trPr>
          <w:trHeight w:val="265"/>
        </w:trPr>
        <w:tc>
          <w:tcPr>
            <w:tcW w:w="1620" w:type="dxa"/>
            <w:vMerge/>
            <w:shd w:val="clear" w:color="auto" w:fill="D9D9D9"/>
            <w:vAlign w:val="center"/>
          </w:tcPr>
          <w:p w14:paraId="2C896AC4"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2ED1A850"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0,710 -1,000</w:t>
            </w:r>
          </w:p>
        </w:tc>
        <w:tc>
          <w:tcPr>
            <w:tcW w:w="7623" w:type="dxa"/>
            <w:shd w:val="clear" w:color="auto" w:fill="D9D9D9"/>
            <w:tcMar>
              <w:top w:w="0" w:type="dxa"/>
              <w:left w:w="108" w:type="dxa"/>
              <w:bottom w:w="0" w:type="dxa"/>
              <w:right w:w="108" w:type="dxa"/>
            </w:tcMar>
            <w:vAlign w:val="center"/>
          </w:tcPr>
          <w:p w14:paraId="3C32C700"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Pouco compatível – pode gerar leve estresse biológico.</w:t>
            </w:r>
          </w:p>
        </w:tc>
      </w:tr>
      <w:tr w:rsidR="006F6853" w:rsidRPr="004F0C9C" w14:paraId="682D0E00" w14:textId="77777777" w:rsidTr="0058405A">
        <w:tc>
          <w:tcPr>
            <w:tcW w:w="1620" w:type="dxa"/>
            <w:vMerge/>
            <w:shd w:val="clear" w:color="auto" w:fill="D9D9D9"/>
            <w:vAlign w:val="center"/>
          </w:tcPr>
          <w:p w14:paraId="0FF12820"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319D1D6F"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&gt;1,000</w:t>
            </w:r>
          </w:p>
        </w:tc>
        <w:tc>
          <w:tcPr>
            <w:tcW w:w="7623" w:type="dxa"/>
            <w:shd w:val="clear" w:color="auto" w:fill="D9D9D9"/>
            <w:tcMar>
              <w:top w:w="0" w:type="dxa"/>
              <w:left w:w="108" w:type="dxa"/>
              <w:bottom w:w="0" w:type="dxa"/>
              <w:right w:w="108" w:type="dxa"/>
            </w:tcMar>
            <w:vAlign w:val="center"/>
          </w:tcPr>
          <w:p w14:paraId="737EF294"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Incompatível – potencial alergênico, inflamatório ou intoxicante.</w:t>
            </w:r>
          </w:p>
        </w:tc>
      </w:tr>
      <w:tr w:rsidR="006F6853" w:rsidRPr="004F0C9C" w14:paraId="21D2647F" w14:textId="77777777" w:rsidTr="0058405A">
        <w:tc>
          <w:tcPr>
            <w:tcW w:w="1620" w:type="dxa"/>
            <w:vMerge w:val="restart"/>
            <w:vAlign w:val="center"/>
          </w:tcPr>
          <w:p w14:paraId="237F081E"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proofErr w:type="spellStart"/>
            <w:r w:rsidRPr="001C702A">
              <w:rPr>
                <w:rFonts w:ascii="Calibri" w:eastAsia="Calibri" w:hAnsi="Calibri" w:cs="Calibri"/>
                <w:sz w:val="20"/>
                <w:szCs w:val="20"/>
              </w:rPr>
              <w:t>Patologias</w:t>
            </w:r>
            <w:proofErr w:type="spellEnd"/>
          </w:p>
        </w:tc>
        <w:tc>
          <w:tcPr>
            <w:tcW w:w="1530" w:type="dxa"/>
            <w:tcMar>
              <w:top w:w="0" w:type="dxa"/>
              <w:left w:w="108" w:type="dxa"/>
              <w:bottom w:w="0" w:type="dxa"/>
              <w:right w:w="108" w:type="dxa"/>
            </w:tcMar>
          </w:tcPr>
          <w:p w14:paraId="5B6732E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21179C42"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Processo altamente provável. Pode haver sintomas visíveis.</w:t>
            </w:r>
          </w:p>
        </w:tc>
      </w:tr>
      <w:tr w:rsidR="006F6853" w:rsidRPr="004F0C9C" w14:paraId="49B40E21" w14:textId="77777777" w:rsidTr="0058405A">
        <w:tc>
          <w:tcPr>
            <w:tcW w:w="1620" w:type="dxa"/>
            <w:vMerge/>
            <w:vAlign w:val="center"/>
          </w:tcPr>
          <w:p w14:paraId="1F6631C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E9090B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tcMar>
              <w:top w:w="0" w:type="dxa"/>
              <w:left w:w="108" w:type="dxa"/>
              <w:bottom w:w="0" w:type="dxa"/>
              <w:right w:w="108" w:type="dxa"/>
            </w:tcMar>
          </w:tcPr>
          <w:p w14:paraId="7B0D5648"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Fase de desenvolvimento inicial, subclínica.</w:t>
            </w:r>
          </w:p>
        </w:tc>
      </w:tr>
      <w:tr w:rsidR="006F6853" w:rsidRPr="004F0C9C" w14:paraId="138CED39" w14:textId="77777777" w:rsidTr="0058405A">
        <w:tc>
          <w:tcPr>
            <w:tcW w:w="1620" w:type="dxa"/>
            <w:vMerge/>
            <w:vAlign w:val="center"/>
          </w:tcPr>
          <w:p w14:paraId="1B8ED923"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522CE2B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tcMar>
              <w:top w:w="0" w:type="dxa"/>
              <w:left w:w="108" w:type="dxa"/>
              <w:bottom w:w="0" w:type="dxa"/>
              <w:right w:w="108" w:type="dxa"/>
            </w:tcMar>
          </w:tcPr>
          <w:p w14:paraId="1F016503"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Sem expressão ativa, mas pode estar em latência ou ser um traço genético.</w:t>
            </w:r>
          </w:p>
        </w:tc>
      </w:tr>
      <w:tr w:rsidR="006F6853" w:rsidRPr="001C702A" w14:paraId="0F3EC4B8" w14:textId="77777777" w:rsidTr="0058405A">
        <w:tc>
          <w:tcPr>
            <w:tcW w:w="1620" w:type="dxa"/>
            <w:shd w:val="clear" w:color="auto" w:fill="D9D9D9" w:themeFill="background1" w:themeFillShade="D9"/>
            <w:vAlign w:val="center"/>
          </w:tcPr>
          <w:p w14:paraId="207561FA"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roofErr w:type="spellStart"/>
            <w:r w:rsidRPr="001C702A">
              <w:rPr>
                <w:rFonts w:ascii="Calibri" w:eastAsia="Calibri" w:hAnsi="Calibri" w:cs="Calibri"/>
                <w:sz w:val="20"/>
                <w:szCs w:val="20"/>
              </w:rPr>
              <w:t>Pedras</w:t>
            </w:r>
            <w:proofErr w:type="spellEnd"/>
            <w:r w:rsidRPr="001C702A">
              <w:rPr>
                <w:rFonts w:ascii="Calibri" w:eastAsia="Calibri" w:hAnsi="Calibri" w:cs="Calibri"/>
                <w:sz w:val="20"/>
                <w:szCs w:val="20"/>
              </w:rPr>
              <w:t>/</w:t>
            </w:r>
            <w:proofErr w:type="spellStart"/>
            <w:r w:rsidRPr="001C702A">
              <w:rPr>
                <w:rFonts w:ascii="Calibri" w:eastAsia="Calibri" w:hAnsi="Calibri" w:cs="Calibri"/>
                <w:sz w:val="20"/>
                <w:szCs w:val="20"/>
              </w:rPr>
              <w:t>Cristais</w:t>
            </w:r>
            <w:proofErr w:type="spellEnd"/>
          </w:p>
        </w:tc>
        <w:tc>
          <w:tcPr>
            <w:tcW w:w="1530" w:type="dxa"/>
            <w:shd w:val="clear" w:color="auto" w:fill="D9D9D9" w:themeFill="background1" w:themeFillShade="D9"/>
            <w:tcMar>
              <w:top w:w="0" w:type="dxa"/>
              <w:left w:w="108" w:type="dxa"/>
              <w:bottom w:w="0" w:type="dxa"/>
              <w:right w:w="108" w:type="dxa"/>
            </w:tcMar>
          </w:tcPr>
          <w:p w14:paraId="523C6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&lt;0,300</w:t>
            </w:r>
          </w:p>
        </w:tc>
        <w:tc>
          <w:tcPr>
            <w:tcW w:w="7623" w:type="dxa"/>
            <w:shd w:val="clear" w:color="auto" w:fill="D9D9D9" w:themeFill="background1" w:themeFillShade="D9"/>
            <w:tcMar>
              <w:top w:w="0" w:type="dxa"/>
              <w:left w:w="108" w:type="dxa"/>
              <w:bottom w:w="0" w:type="dxa"/>
              <w:right w:w="108" w:type="dxa"/>
            </w:tcMar>
            <w:vAlign w:val="center"/>
          </w:tcPr>
          <w:p w14:paraId="72004407" w14:textId="77777777" w:rsidR="006F6853" w:rsidRPr="001C702A" w:rsidRDefault="006F6853" w:rsidP="0058405A">
            <w:pPr>
              <w:spacing w:after="0" w:line="240" w:lineRule="auto"/>
              <w:rPr>
                <w:rFonts w:ascii="Calibri" w:eastAsia="Calibri" w:hAnsi="Calibri" w:cs="Calibri"/>
                <w:color w:val="000000"/>
                <w:sz w:val="20"/>
                <w:szCs w:val="20"/>
              </w:rPr>
            </w:pPr>
            <w:proofErr w:type="spellStart"/>
            <w:r w:rsidRPr="001C702A">
              <w:rPr>
                <w:rFonts w:ascii="Calibri" w:eastAsia="Calibri" w:hAnsi="Calibri" w:cs="Calibri"/>
                <w:sz w:val="20"/>
                <w:szCs w:val="20"/>
              </w:rPr>
              <w:t>Altamente</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benéfic</w:t>
            </w:r>
            <w:r>
              <w:rPr>
                <w:rFonts w:ascii="Calibri" w:eastAsia="Calibri" w:hAnsi="Calibri" w:cs="Calibri"/>
                <w:sz w:val="20"/>
                <w:szCs w:val="20"/>
              </w:rPr>
              <w:t>a</w:t>
            </w:r>
            <w:proofErr w:type="spellEnd"/>
            <w:r w:rsidRPr="001C702A">
              <w:rPr>
                <w:rFonts w:ascii="Calibri" w:eastAsia="Calibri" w:hAnsi="Calibri" w:cs="Calibri"/>
                <w:sz w:val="20"/>
                <w:szCs w:val="20"/>
              </w:rPr>
              <w:t>, tanto</w:t>
            </w:r>
            <w:r>
              <w:rPr>
                <w:rFonts w:ascii="Calibri" w:eastAsia="Calibri" w:hAnsi="Calibri" w:cs="Calibri"/>
                <w:sz w:val="20"/>
                <w:szCs w:val="20"/>
              </w:rPr>
              <w:t xml:space="preserve"> no </w:t>
            </w:r>
            <w:proofErr w:type="spellStart"/>
            <w:r>
              <w:rPr>
                <w:rFonts w:ascii="Calibri" w:eastAsia="Calibri" w:hAnsi="Calibri" w:cs="Calibri"/>
                <w:sz w:val="20"/>
                <w:szCs w:val="20"/>
              </w:rPr>
              <w:t>aspecto</w:t>
            </w:r>
            <w:proofErr w:type="spellEnd"/>
            <w:r>
              <w:rPr>
                <w:rFonts w:ascii="Calibri" w:eastAsia="Calibri" w:hAnsi="Calibri" w:cs="Calibri"/>
                <w:sz w:val="20"/>
                <w:szCs w:val="20"/>
              </w:rPr>
              <w:t xml:space="preserve"> </w:t>
            </w:r>
            <w:proofErr w:type="spellStart"/>
            <w:r w:rsidRPr="001C702A">
              <w:rPr>
                <w:rFonts w:ascii="Calibri" w:eastAsia="Calibri" w:hAnsi="Calibri" w:cs="Calibri"/>
                <w:sz w:val="20"/>
                <w:szCs w:val="20"/>
              </w:rPr>
              <w:t>fís</w:t>
            </w:r>
            <w:r>
              <w:rPr>
                <w:rFonts w:ascii="Calibri" w:eastAsia="Calibri" w:hAnsi="Calibri" w:cs="Calibri"/>
                <w:sz w:val="20"/>
                <w:szCs w:val="20"/>
              </w:rPr>
              <w:t>i</w:t>
            </w:r>
            <w:r w:rsidRPr="001C702A">
              <w:rPr>
                <w:rFonts w:ascii="Calibri" w:eastAsia="Calibri" w:hAnsi="Calibri" w:cs="Calibri"/>
                <w:sz w:val="20"/>
                <w:szCs w:val="20"/>
              </w:rPr>
              <w:t>co</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como</w:t>
            </w:r>
            <w:proofErr w:type="spellEnd"/>
            <w:r w:rsidRPr="001C702A">
              <w:rPr>
                <w:rFonts w:ascii="Calibri" w:eastAsia="Calibri" w:hAnsi="Calibri" w:cs="Calibri"/>
                <w:sz w:val="20"/>
                <w:szCs w:val="20"/>
              </w:rPr>
              <w:t xml:space="preserve"> </w:t>
            </w:r>
            <w:r>
              <w:rPr>
                <w:rFonts w:ascii="Calibri" w:eastAsia="Calibri" w:hAnsi="Calibri" w:cs="Calibri"/>
                <w:sz w:val="20"/>
                <w:szCs w:val="20"/>
              </w:rPr>
              <w:t>n</w:t>
            </w:r>
            <w:r w:rsidRPr="001C702A">
              <w:rPr>
                <w:rFonts w:ascii="Calibri" w:eastAsia="Calibri" w:hAnsi="Calibri" w:cs="Calibri"/>
                <w:sz w:val="20"/>
                <w:szCs w:val="20"/>
              </w:rPr>
              <w:t xml:space="preserve">o </w:t>
            </w:r>
            <w:proofErr w:type="spellStart"/>
            <w:r w:rsidRPr="001C702A">
              <w:rPr>
                <w:rFonts w:ascii="Calibri" w:eastAsia="Calibri" w:hAnsi="Calibri" w:cs="Calibri"/>
                <w:sz w:val="20"/>
                <w:szCs w:val="20"/>
              </w:rPr>
              <w:t>emocional</w:t>
            </w:r>
            <w:proofErr w:type="spellEnd"/>
            <w:r w:rsidRPr="001C702A">
              <w:rPr>
                <w:rFonts w:ascii="Calibri" w:eastAsia="Calibri" w:hAnsi="Calibri" w:cs="Calibri"/>
                <w:sz w:val="20"/>
                <w:szCs w:val="20"/>
              </w:rPr>
              <w:t>.</w:t>
            </w:r>
          </w:p>
        </w:tc>
      </w:tr>
    </w:tbl>
    <w:p w14:paraId="7A32F007" w14:textId="77777777" w:rsidR="006F6853" w:rsidRDefault="006F6853"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455B499" w:rsidR="00082D96" w:rsidRPr="00BE0685" w:rsidRDefault="004F0C9C" w:rsidP="00AB67EF">
            <w:pPr>
              <w:spacing w:after="0" w:line="240" w:lineRule="auto"/>
              <w:jc w:val="center"/>
              <w:rPr>
                <w:rFonts w:ascii="Calibri" w:eastAsia="Calibri" w:hAnsi="Calibri" w:cs="Calibri"/>
                <w:b/>
                <w:bCs/>
                <w:lang w:val="pt-BR"/>
              </w:rPr>
            </w:pPr>
            <w:r w:rsidRPr="004F0C9C">
              <w:rPr>
                <w:rFonts w:ascii="Calibri" w:eastAsia="Calibri" w:hAnsi="Calibri" w:cs="Calibri"/>
                <w:b/>
                <w:bCs/>
                <w:lang w:val="pt-BR"/>
              </w:rPr>
              <w:t>MICRORGANISMOS PARTE 1 – TIPO –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lastRenderedPageBreak/>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4F0C9C"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4F0C9C"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4A5E73DE" w14:textId="019FBE46" w:rsidR="009052E1" w:rsidRPr="009052E1" w:rsidRDefault="009052E1">
      <w:pPr>
        <w:spacing w:after="0" w:line="240" w:lineRule="auto"/>
        <w:rPr>
          <w:rFonts w:ascii="Calibri" w:eastAsia="Calibri" w:hAnsi="Calibri" w:cs="Calibri"/>
          <w:b/>
          <w:bCs/>
          <w:lang w:val="pt-BR"/>
        </w:rPr>
      </w:pPr>
      <w:r w:rsidRPr="009052E1">
        <w:rPr>
          <w:rFonts w:ascii="Calibri" w:eastAsia="Calibri" w:hAnsi="Calibri" w:cs="Calibri"/>
          <w:b/>
          <w:bCs/>
          <w:lang w:val="pt-BR"/>
        </w:rPr>
        <w:t xml:space="preserve">Análise de Correlação Mente-Corpo: Bases da Nova Medicina Germânica e </w:t>
      </w:r>
      <w:proofErr w:type="spellStart"/>
      <w:r w:rsidRPr="009052E1">
        <w:rPr>
          <w:rFonts w:ascii="Calibri" w:eastAsia="Calibri" w:hAnsi="Calibri" w:cs="Calibri"/>
          <w:b/>
          <w:bCs/>
          <w:lang w:val="pt-BR"/>
        </w:rPr>
        <w:t>Metamedicina</w:t>
      </w:r>
      <w:proofErr w:type="spellEnd"/>
    </w:p>
    <w:p w14:paraId="43C34D81" w14:textId="77777777" w:rsidR="009052E1" w:rsidRDefault="009052E1" w:rsidP="009052E1">
      <w:pPr>
        <w:spacing w:after="0" w:line="240" w:lineRule="auto"/>
        <w:rPr>
          <w:rFonts w:ascii="Calibri" w:eastAsia="Calibri" w:hAnsi="Calibri" w:cs="Calibri"/>
          <w:b/>
          <w:bCs/>
          <w:lang w:val="pt-BR"/>
        </w:rPr>
      </w:pPr>
    </w:p>
    <w:p w14:paraId="7599B4B6" w14:textId="3D9CCF23" w:rsidR="00C5505A" w:rsidRPr="00C5505A" w:rsidRDefault="002C337D" w:rsidP="009052E1">
      <w:pPr>
        <w:spacing w:after="0" w:line="240" w:lineRule="auto"/>
        <w:rPr>
          <w:rFonts w:ascii="Calibri" w:eastAsia="Calibri" w:hAnsi="Calibri" w:cs="Calibri"/>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r>
      <w:r w:rsidR="00C5505A" w:rsidRPr="00C5505A">
        <w:rPr>
          <w:rFonts w:ascii="Calibri" w:eastAsia="Calibri" w:hAnsi="Calibri" w:cs="Calibri"/>
          <w:lang w:val="pt-BR"/>
        </w:rPr>
        <w:t>Email: bienestarsantos@gmail.com | Instagram: @bienestarsantos | WhatsApp: (13) 99147-4404</w:t>
      </w:r>
    </w:p>
    <w:p w14:paraId="5AEC328B" w14:textId="24B699B0" w:rsidR="002245BB" w:rsidRPr="0089690C" w:rsidRDefault="002245BB">
      <w:pPr>
        <w:spacing w:after="0" w:line="240" w:lineRule="auto"/>
        <w:rPr>
          <w:color w:val="000000"/>
          <w:sz w:val="24"/>
          <w:szCs w:val="24"/>
          <w:lang w:val="pt-BR"/>
        </w:rPr>
      </w:pP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70686" w14:textId="77777777" w:rsidR="00052A0B" w:rsidRDefault="00052A0B">
      <w:pPr>
        <w:spacing w:after="0" w:line="240" w:lineRule="auto"/>
      </w:pPr>
      <w:r>
        <w:separator/>
      </w:r>
    </w:p>
  </w:endnote>
  <w:endnote w:type="continuationSeparator" w:id="0">
    <w:p w14:paraId="4D93A8D0" w14:textId="77777777" w:rsidR="00052A0B" w:rsidRDefault="00052A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035E9DA-9DA2-4698-8D00-5A4A5179BDC9}"/>
  </w:font>
  <w:font w:name="Cambria">
    <w:panose1 w:val="02040503050406030204"/>
    <w:charset w:val="00"/>
    <w:family w:val="roman"/>
    <w:pitch w:val="variable"/>
    <w:sig w:usb0="E00006FF" w:usb1="420024FF" w:usb2="02000000" w:usb3="00000000" w:csb0="0000019F" w:csb1="00000000"/>
    <w:embedRegular r:id="rId2" w:fontKey="{19099ABA-E620-4E62-B93F-0447E3D2BA87}"/>
    <w:embedBold r:id="rId3" w:fontKey="{0D15C4FF-BCB8-425C-B185-6F5E7F2548E4}"/>
    <w:embedItalic r:id="rId4" w:fontKey="{8601B48F-3837-4DED-80D7-C706F2A41689}"/>
    <w:embedBoldItalic r:id="rId5" w:fontKey="{46204C8F-C552-48CA-8E3D-23EE549070E4}"/>
  </w:font>
  <w:font w:name="Calibri">
    <w:panose1 w:val="020F0502020204030204"/>
    <w:charset w:val="00"/>
    <w:family w:val="swiss"/>
    <w:pitch w:val="variable"/>
    <w:sig w:usb0="E4002EFF" w:usb1="C200247B" w:usb2="00000009" w:usb3="00000000" w:csb0="000001FF" w:csb1="00000000"/>
    <w:embedRegular r:id="rId6" w:fontKey="{95B23FD6-5E03-440A-9FF9-1E626553D198}"/>
    <w:embedBold r:id="rId7" w:fontKey="{349984A7-B9C0-4FA7-A5DE-A429EEB6FBF5}"/>
    <w:embedItalic r:id="rId8" w:fontKey="{FE461606-56AD-49BF-9ED0-C5EC68E3E885}"/>
    <w:embedBoldItalic r:id="rId9" w:fontKey="{6425D99D-8B61-4641-B9DB-26ECCEF7A2E9}"/>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97639" w14:textId="77777777" w:rsidR="00052A0B" w:rsidRDefault="00052A0B">
      <w:pPr>
        <w:spacing w:after="0" w:line="240" w:lineRule="auto"/>
      </w:pPr>
      <w:r>
        <w:separator/>
      </w:r>
    </w:p>
  </w:footnote>
  <w:footnote w:type="continuationSeparator" w:id="0">
    <w:p w14:paraId="2EBA8638" w14:textId="77777777" w:rsidR="00052A0B" w:rsidRDefault="00052A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A0B"/>
    <w:rsid w:val="000751B7"/>
    <w:rsid w:val="00082D96"/>
    <w:rsid w:val="000A05B5"/>
    <w:rsid w:val="00123C70"/>
    <w:rsid w:val="00151758"/>
    <w:rsid w:val="00195CA6"/>
    <w:rsid w:val="001D7F8F"/>
    <w:rsid w:val="001E0AC8"/>
    <w:rsid w:val="001E571E"/>
    <w:rsid w:val="00203F85"/>
    <w:rsid w:val="002158CA"/>
    <w:rsid w:val="002245BB"/>
    <w:rsid w:val="002326C8"/>
    <w:rsid w:val="002509AC"/>
    <w:rsid w:val="002C333E"/>
    <w:rsid w:val="002C337D"/>
    <w:rsid w:val="002C7D3F"/>
    <w:rsid w:val="002D7AEE"/>
    <w:rsid w:val="0030214D"/>
    <w:rsid w:val="00311B86"/>
    <w:rsid w:val="00323A10"/>
    <w:rsid w:val="003D34C6"/>
    <w:rsid w:val="0041796B"/>
    <w:rsid w:val="00462A86"/>
    <w:rsid w:val="004865CC"/>
    <w:rsid w:val="004B5377"/>
    <w:rsid w:val="004F0C9C"/>
    <w:rsid w:val="005269AB"/>
    <w:rsid w:val="0056746D"/>
    <w:rsid w:val="00571370"/>
    <w:rsid w:val="005845DA"/>
    <w:rsid w:val="005D1C03"/>
    <w:rsid w:val="005D794B"/>
    <w:rsid w:val="005F06BA"/>
    <w:rsid w:val="00616C91"/>
    <w:rsid w:val="00620C1F"/>
    <w:rsid w:val="0064024A"/>
    <w:rsid w:val="00647C80"/>
    <w:rsid w:val="006B1081"/>
    <w:rsid w:val="006B627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E13C4"/>
    <w:rsid w:val="008F267F"/>
    <w:rsid w:val="00900B74"/>
    <w:rsid w:val="0090446C"/>
    <w:rsid w:val="009052E1"/>
    <w:rsid w:val="00913226"/>
    <w:rsid w:val="00937C33"/>
    <w:rsid w:val="00962588"/>
    <w:rsid w:val="00965A73"/>
    <w:rsid w:val="009B6E1B"/>
    <w:rsid w:val="009C200C"/>
    <w:rsid w:val="009C4C74"/>
    <w:rsid w:val="009F5B60"/>
    <w:rsid w:val="00A4026D"/>
    <w:rsid w:val="00A41842"/>
    <w:rsid w:val="00A80BBA"/>
    <w:rsid w:val="00A95B71"/>
    <w:rsid w:val="00A97510"/>
    <w:rsid w:val="00AB7B5A"/>
    <w:rsid w:val="00AC1F97"/>
    <w:rsid w:val="00AE0710"/>
    <w:rsid w:val="00AE0A44"/>
    <w:rsid w:val="00AF64C1"/>
    <w:rsid w:val="00B353B6"/>
    <w:rsid w:val="00B51299"/>
    <w:rsid w:val="00B541C3"/>
    <w:rsid w:val="00BA34DB"/>
    <w:rsid w:val="00BD43A7"/>
    <w:rsid w:val="00BE0685"/>
    <w:rsid w:val="00BE08EB"/>
    <w:rsid w:val="00C07271"/>
    <w:rsid w:val="00C07A80"/>
    <w:rsid w:val="00C46F6E"/>
    <w:rsid w:val="00C5505A"/>
    <w:rsid w:val="00C6709B"/>
    <w:rsid w:val="00C70673"/>
    <w:rsid w:val="00C750BC"/>
    <w:rsid w:val="00CC1B94"/>
    <w:rsid w:val="00CE5731"/>
    <w:rsid w:val="00CF5C7B"/>
    <w:rsid w:val="00D016C5"/>
    <w:rsid w:val="00D16C4E"/>
    <w:rsid w:val="00D625E1"/>
    <w:rsid w:val="00D90BC1"/>
    <w:rsid w:val="00DB2B80"/>
    <w:rsid w:val="00E04BE8"/>
    <w:rsid w:val="00E47570"/>
    <w:rsid w:val="00E5115E"/>
    <w:rsid w:val="00E64CF8"/>
    <w:rsid w:val="00EA2F95"/>
    <w:rsid w:val="00EA533F"/>
    <w:rsid w:val="00F2582E"/>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1057</Words>
  <Characters>5712</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7</cp:revision>
  <dcterms:created xsi:type="dcterms:W3CDTF">2026-03-03T12:06:00Z</dcterms:created>
  <dcterms:modified xsi:type="dcterms:W3CDTF">2026-03-15T13:44:00Z</dcterms:modified>
</cp:coreProperties>
</file>