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F07E8" w14:textId="77777777" w:rsidR="004F3E46" w:rsidRDefault="00680F37">
      <w:pPr>
        <w:pStyle w:val="Title"/>
      </w:pPr>
      <w:r>
        <w:t>Midterm Exam</w:t>
      </w:r>
    </w:p>
    <w:p w14:paraId="548F15F0" w14:textId="77777777" w:rsidR="004F3E46" w:rsidRDefault="00680F37">
      <w:pPr>
        <w:pStyle w:val="Author"/>
      </w:pPr>
      <w:r>
        <w:t>Psyc5501</w:t>
      </w:r>
    </w:p>
    <w:p w14:paraId="10497D0B" w14:textId="77777777" w:rsidR="004F3E46" w:rsidRDefault="00680F37">
      <w:pPr>
        <w:pStyle w:val="Date"/>
      </w:pPr>
      <w:r>
        <w:t>Due 11/3</w:t>
      </w:r>
    </w:p>
    <w:p w14:paraId="6E4ED534" w14:textId="58D78275" w:rsidR="004F3E46" w:rsidRDefault="00680F37">
      <w:pPr>
        <w:pStyle w:val="FirstParagraph"/>
      </w:pPr>
      <w:r>
        <w:t xml:space="preserve">Lepore, Fernandez-Berrocal, Ragan, and Ramos (2004) examined the effects of different social conditions on participants’ emotional responses to a stressful event. In one of their studies, college women viewed a video dramatizing a real-life sexual assault </w:t>
      </w:r>
      <w:r>
        <w:t>over two sessions. After viewing the video in Session 1, participants were randomly assigned to one of four conditions: no talk (</w:t>
      </w:r>
      <w:r w:rsidR="00E33327">
        <w:t>1</w:t>
      </w:r>
      <w:r>
        <w:t>), talk</w:t>
      </w:r>
      <w:r w:rsidR="00E33327">
        <w:t xml:space="preserve"> (2)</w:t>
      </w:r>
      <w:r>
        <w:t>, validating</w:t>
      </w:r>
      <w:r w:rsidR="00E33327">
        <w:t xml:space="preserve"> (3)</w:t>
      </w:r>
      <w:r>
        <w:t>, or challenging</w:t>
      </w:r>
      <w:r w:rsidR="00E33327">
        <w:t xml:space="preserve"> (4)</w:t>
      </w:r>
      <w:r>
        <w:t>. Participants randomized to the no-talk control condition remained alone after viewi</w:t>
      </w:r>
      <w:r>
        <w:t>ng the video and did not disclose any of their thoughts or feelings. Participants randomized to the talk condition remained alone after the viewing while they talked aloud about their thoughts and feelings relating to the scene. Participants in the validat</w:t>
      </w:r>
      <w:r>
        <w:t>e condition disclosed their thoughts and feelings about the assault scene to a woman confederate who validated the participant’s disclosure. Participants randomized to the challenge condition disclosed their thoughts and feelings about the scene to a woman</w:t>
      </w:r>
      <w:r>
        <w:t xml:space="preserve"> confederate who challenged them to consider taking a less threatening perspective on the scene. In Session 2, which was 48 hours later, participants returned to the lab and were asked to relax for 5 minutes. Then, they were re-exposed to the same scene. A</w:t>
      </w:r>
      <w:r>
        <w:t>t the end of Session 2, data were collected on physiological and psychological distress variables. The dataset you will use for these questions contains a measure of psychological distress, where higher scores indicate greater distress.</w:t>
      </w:r>
    </w:p>
    <w:p w14:paraId="61560D4C" w14:textId="77777777" w:rsidR="004F3E46" w:rsidRDefault="00680F37">
      <w:pPr>
        <w:numPr>
          <w:ilvl w:val="0"/>
          <w:numId w:val="2"/>
        </w:numPr>
      </w:pPr>
      <w:r>
        <w:t>Using R, obtain des</w:t>
      </w:r>
      <w:r>
        <w:t>criptive statistics and make boxplots showing the distribution of distress scores by treatment group.</w:t>
      </w:r>
    </w:p>
    <w:p w14:paraId="3D48FB8B" w14:textId="77777777" w:rsidR="004F3E46" w:rsidRDefault="00680F37">
      <w:pPr>
        <w:numPr>
          <w:ilvl w:val="0"/>
          <w:numId w:val="2"/>
        </w:numPr>
      </w:pPr>
      <w:r>
        <w:t>Evaluate the assumptions of normality and homogeneity of variance, including any relevant plots. What do you conclude about these assumptions?</w:t>
      </w:r>
    </w:p>
    <w:p w14:paraId="33E6E2A8" w14:textId="77777777" w:rsidR="004F3E46" w:rsidRDefault="00680F37">
      <w:pPr>
        <w:numPr>
          <w:ilvl w:val="0"/>
          <w:numId w:val="2"/>
        </w:numPr>
      </w:pPr>
      <w:r>
        <w:t>Using R, co</w:t>
      </w:r>
      <w:r>
        <w:t>nduct the omnibus test (within a GLM framework) that all group means are the same. Write out the full and restricted models using the cell means parameterization, identifying the meaning of each term. What conclusion can you draw from the omnibus test?</w:t>
      </w:r>
    </w:p>
    <w:p w14:paraId="3B9214BC" w14:textId="77777777" w:rsidR="004F3E46" w:rsidRDefault="00680F37">
      <w:pPr>
        <w:numPr>
          <w:ilvl w:val="0"/>
          <w:numId w:val="2"/>
        </w:numPr>
      </w:pPr>
      <w:r>
        <w:t>Rep</w:t>
      </w:r>
      <w:r>
        <w:t xml:space="preserve">ort and interpret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full model.</w:t>
      </w:r>
    </w:p>
    <w:p w14:paraId="6E3231A2" w14:textId="608FDC95" w:rsidR="004F3E46" w:rsidRDefault="00680F37">
      <w:pPr>
        <w:numPr>
          <w:ilvl w:val="0"/>
          <w:numId w:val="2"/>
        </w:numPr>
      </w:pPr>
      <w:r>
        <w:t>Suppose you are interested in whether there is an effect of talking about one’s thoughts and feelings, whether to oneself or to a confederate, compared to not talking. Come up with the appropriate contrast coeffici</w:t>
      </w:r>
      <w:r>
        <w:t xml:space="preserve">ents and test the contrast for significance using R. Report the </w:t>
      </w:r>
      <w:r w:rsidR="004D79C7">
        <w:t xml:space="preserve">point estimate and </w:t>
      </w:r>
      <w:r>
        <w:t>95% confidence interval for the mean difference. What do you conclude?</w:t>
      </w:r>
    </w:p>
    <w:p w14:paraId="16A6FCAE" w14:textId="659A1947" w:rsidR="004F3E46" w:rsidRDefault="00680F37">
      <w:pPr>
        <w:numPr>
          <w:ilvl w:val="0"/>
          <w:numId w:val="2"/>
        </w:numPr>
      </w:pPr>
      <w:r>
        <w:lastRenderedPageBreak/>
        <w:t>Test whether there is a difference between the validating and challenging conditions. Report the</w:t>
      </w:r>
      <w:r w:rsidR="004D79C7">
        <w:t xml:space="preserve"> point estimate and</w:t>
      </w:r>
      <w:r>
        <w:t xml:space="preserve"> 95% confidence interval </w:t>
      </w:r>
      <w:r>
        <w:t>for the mean difference. What do you conclude?</w:t>
      </w:r>
    </w:p>
    <w:p w14:paraId="1F38572F" w14:textId="78172975" w:rsidR="004F3E46" w:rsidRDefault="00680F37">
      <w:pPr>
        <w:numPr>
          <w:ilvl w:val="0"/>
          <w:numId w:val="2"/>
        </w:numPr>
      </w:pPr>
      <w:r>
        <w:t xml:space="preserve">Come up with the last remaining contrast that will make an orthogonal set (after including the ones you tested in #5 and #6). Test this contrast for significance using R. </w:t>
      </w:r>
      <w:r w:rsidR="004D79C7">
        <w:t xml:space="preserve">Report the point estimate and 95% confidence interval for the mean difference. </w:t>
      </w:r>
      <w:r>
        <w:t>What do you conclude?</w:t>
      </w:r>
    </w:p>
    <w:p w14:paraId="4F7573D9" w14:textId="77777777" w:rsidR="004F3E46" w:rsidRDefault="00680F37">
      <w:pPr>
        <w:numPr>
          <w:ilvl w:val="0"/>
          <w:numId w:val="2"/>
        </w:numPr>
      </w:pPr>
      <w:r>
        <w:t>Calculate the st</w:t>
      </w:r>
      <w:r>
        <w:t>andardized mean difference for the contrast in #5. Report the point estimate as well as the confidence interval. Comment on the size of the effect for this contrast.</w:t>
      </w:r>
    </w:p>
    <w:p w14:paraId="67EA3A80" w14:textId="77777777" w:rsidR="004F3E46" w:rsidRDefault="00680F37">
      <w:pPr>
        <w:numPr>
          <w:ilvl w:val="0"/>
          <w:numId w:val="2"/>
        </w:numPr>
      </w:pPr>
      <w:r>
        <w:t xml:space="preserve">Calculate </w:t>
      </w:r>
      <m:oMath>
        <m:sSubSup>
          <m:sSubSupPr>
            <m:ctrlPr>
              <w:rPr>
                <w:rFonts w:ascii="Cambria Math" w:hAnsi="Cambria Math"/>
              </w:rPr>
            </m:ctrlPr>
          </m:sSubSupPr>
          <m:e>
            <m:r>
              <w:rPr>
                <w:rFonts w:ascii="Cambria Math" w:hAnsi="Cambria Math"/>
              </w:rPr>
              <m:t>R</m:t>
            </m:r>
          </m:e>
          <m:sub>
            <m:r>
              <w:rPr>
                <w:rFonts w:ascii="Cambria Math" w:hAnsi="Cambria Math"/>
              </w:rPr>
              <m:t>alerting</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R</m:t>
            </m:r>
          </m:e>
          <m:sub>
            <m:r>
              <w:rPr>
                <w:rFonts w:ascii="Cambria Math" w:hAnsi="Cambria Math"/>
              </w:rPr>
              <m:t>effect</m:t>
            </m:r>
            <m:r>
              <w:rPr>
                <w:rFonts w:ascii="Cambria Math" w:hAnsi="Cambria Math"/>
              </w:rPr>
              <m:t> </m:t>
            </m:r>
            <m:r>
              <w:rPr>
                <w:rFonts w:ascii="Cambria Math" w:hAnsi="Cambria Math"/>
              </w:rPr>
              <m:t>size</m:t>
            </m:r>
          </m:sub>
          <m:sup>
            <m:r>
              <w:rPr>
                <w:rFonts w:ascii="Cambria Math" w:hAnsi="Cambria Math"/>
              </w:rPr>
              <m:t>2</m:t>
            </m:r>
          </m:sup>
        </m:sSubSup>
      </m:oMath>
      <w:r>
        <w:t xml:space="preserve"> for the contrast in #5. Which e</w:t>
      </w:r>
      <w:r>
        <w:t>stimate is larger, and why?</w:t>
      </w:r>
    </w:p>
    <w:p w14:paraId="1FD32535" w14:textId="77777777" w:rsidR="004F3E46" w:rsidRDefault="00680F37">
      <w:pPr>
        <w:numPr>
          <w:ilvl w:val="0"/>
          <w:numId w:val="2"/>
        </w:numPr>
      </w:pPr>
      <w:r>
        <w:t>Using the sum of square values for the contrasts, show that the three contrasts you tested form an orthogonal set.</w:t>
      </w:r>
    </w:p>
    <w:p w14:paraId="02471A87" w14:textId="77777777" w:rsidR="004F3E46" w:rsidRDefault="00680F37">
      <w:r>
        <w:br w:type="page"/>
      </w:r>
    </w:p>
    <w:p w14:paraId="7CD17053" w14:textId="77777777" w:rsidR="004F3E46" w:rsidRDefault="00680F37">
      <w:pPr>
        <w:pStyle w:val="FirstParagraph"/>
      </w:pPr>
      <w:r>
        <w:lastRenderedPageBreak/>
        <w:t>A researcher is interested in what therapeutic strategies will best engage refugees in a treatment for post-tra</w:t>
      </w:r>
      <w:r>
        <w:t>umatic stress disorder (PTSD). The researcher recruited 18 refugees and randomly assigned them to one of 3 equally sized groups. In each group, a different semi-structured interview was administered as if it were the first therapy session, and then the cli</w:t>
      </w:r>
      <w:r>
        <w:t>ent was asked to rate on a scale from 1 to 100 how engaged they felt, where higher scores indicate feelings of greater engagement. The first group was given a standard PTSD semi-structured intake interview, the second group was given an interview that focu</w:t>
      </w:r>
      <w:r>
        <w:t>sed on post-traumatic growth, and the third group was given an interview that focused on post-traumatic growth and was culturally adapted. Summary statistics for the data are presented below.</w:t>
      </w:r>
    </w:p>
    <w:p w14:paraId="09CF24B5" w14:textId="77777777" w:rsidR="004F3E46" w:rsidRDefault="00680F37">
      <w:pPr>
        <w:pStyle w:val="BodyText"/>
      </w:pPr>
      <w:r>
        <w:rPr>
          <w:noProof/>
        </w:rPr>
        <w:drawing>
          <wp:inline distT="0" distB="0" distL="0" distR="0" wp14:anchorId="6ED986D4" wp14:editId="2A1660F0">
            <wp:extent cx="5334000" cy="5790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magnusb/Dropbox/BCTeaching/ANOVA/Exams/Midterm/PTSD.png"/>
                    <pic:cNvPicPr>
                      <a:picLocks noChangeAspect="1" noChangeArrowheads="1"/>
                    </pic:cNvPicPr>
                  </pic:nvPicPr>
                  <pic:blipFill>
                    <a:blip r:embed="rId7"/>
                    <a:stretch>
                      <a:fillRect/>
                    </a:stretch>
                  </pic:blipFill>
                  <pic:spPr bwMode="auto">
                    <a:xfrm>
                      <a:off x="0" y="0"/>
                      <a:ext cx="5334000" cy="579019"/>
                    </a:xfrm>
                    <a:prstGeom prst="rect">
                      <a:avLst/>
                    </a:prstGeom>
                    <a:noFill/>
                    <a:ln w="9525">
                      <a:noFill/>
                      <a:headEnd/>
                      <a:tailEnd/>
                    </a:ln>
                  </pic:spPr>
                </pic:pic>
              </a:graphicData>
            </a:graphic>
          </wp:inline>
        </w:drawing>
      </w:r>
    </w:p>
    <w:p w14:paraId="6ABFE43B" w14:textId="77777777" w:rsidR="004F3E46" w:rsidRDefault="00680F37">
      <w:pPr>
        <w:numPr>
          <w:ilvl w:val="0"/>
          <w:numId w:val="3"/>
        </w:numPr>
      </w:pPr>
      <w:r>
        <w:t>Using the effects parameterization, state the full and restric</w:t>
      </w:r>
      <w:r>
        <w:t xml:space="preserve">ted models being compared in an omnibus one-way ANOVA of these data. Report the estimated parameter values (1 </w:t>
      </w:r>
      <m:oMath>
        <m:r>
          <w:rPr>
            <w:rFonts w:ascii="Cambria Math" w:hAnsi="Cambria Math"/>
          </w:rPr>
          <m:t>μ</m:t>
        </m:r>
      </m:oMath>
      <w:r>
        <w:t xml:space="preserve"> and 3 </w:t>
      </w:r>
      <m:oMath>
        <m:sSub>
          <m:sSubPr>
            <m:ctrlPr>
              <w:rPr>
                <w:rFonts w:ascii="Cambria Math" w:hAnsi="Cambria Math"/>
              </w:rPr>
            </m:ctrlPr>
          </m:sSubPr>
          <m:e>
            <m:r>
              <w:rPr>
                <w:rFonts w:ascii="Cambria Math" w:hAnsi="Cambria Math"/>
              </w:rPr>
              <m:t>α</m:t>
            </m:r>
          </m:e>
          <m:sub>
            <m:r>
              <w:rPr>
                <w:rFonts w:ascii="Cambria Math" w:hAnsi="Cambria Math"/>
              </w:rPr>
              <m:t>j</m:t>
            </m:r>
          </m:sub>
        </m:sSub>
      </m:oMath>
      <w:r>
        <w:t>s), and the degrees of freedom associated with each model.</w:t>
      </w:r>
    </w:p>
    <w:p w14:paraId="5EA39947" w14:textId="23101198" w:rsidR="004F3E46" w:rsidRDefault="00680F37">
      <w:pPr>
        <w:numPr>
          <w:ilvl w:val="0"/>
          <w:numId w:val="3"/>
        </w:numPr>
      </w:pPr>
      <w:r>
        <w:t>Using the information provided, fill in the blank ANOVA table below.</w:t>
      </w:r>
      <w:r w:rsidR="00F67259">
        <w:t xml:space="preserve"> Show your work for any relevant calculations.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925"/>
        <w:gridCol w:w="685"/>
        <w:gridCol w:w="2157"/>
        <w:gridCol w:w="1263"/>
        <w:gridCol w:w="900"/>
      </w:tblGrid>
      <w:tr w:rsidR="001722AF" w14:paraId="26A470B9" w14:textId="77777777" w:rsidTr="001722AF">
        <w:tc>
          <w:tcPr>
            <w:tcW w:w="1525" w:type="dxa"/>
            <w:tcBorders>
              <w:top w:val="single" w:sz="4" w:space="0" w:color="auto"/>
              <w:bottom w:val="single" w:sz="4" w:space="0" w:color="auto"/>
            </w:tcBorders>
          </w:tcPr>
          <w:p w14:paraId="38865B4C" w14:textId="77777777" w:rsidR="001722AF" w:rsidRDefault="001722AF" w:rsidP="001722AF"/>
        </w:tc>
        <w:tc>
          <w:tcPr>
            <w:tcW w:w="1925" w:type="dxa"/>
            <w:tcBorders>
              <w:top w:val="single" w:sz="4" w:space="0" w:color="auto"/>
              <w:bottom w:val="single" w:sz="4" w:space="0" w:color="auto"/>
            </w:tcBorders>
          </w:tcPr>
          <w:p w14:paraId="15694615" w14:textId="72888D02" w:rsidR="001722AF" w:rsidRDefault="001722AF" w:rsidP="001722AF">
            <w:pPr>
              <w:jc w:val="center"/>
            </w:pPr>
            <w:r>
              <w:t>Sum of Squares</w:t>
            </w:r>
          </w:p>
        </w:tc>
        <w:tc>
          <w:tcPr>
            <w:tcW w:w="685" w:type="dxa"/>
            <w:tcBorders>
              <w:top w:val="single" w:sz="4" w:space="0" w:color="auto"/>
              <w:bottom w:val="single" w:sz="4" w:space="0" w:color="auto"/>
            </w:tcBorders>
          </w:tcPr>
          <w:p w14:paraId="02B25472" w14:textId="2B8A7112" w:rsidR="001722AF" w:rsidRPr="001722AF" w:rsidRDefault="001722AF" w:rsidP="001722AF">
            <w:pPr>
              <w:jc w:val="center"/>
              <w:rPr>
                <w:i/>
                <w:iCs/>
              </w:rPr>
            </w:pPr>
            <w:r w:rsidRPr="001722AF">
              <w:rPr>
                <w:i/>
                <w:iCs/>
              </w:rPr>
              <w:t>df</w:t>
            </w:r>
          </w:p>
        </w:tc>
        <w:tc>
          <w:tcPr>
            <w:tcW w:w="2157" w:type="dxa"/>
            <w:tcBorders>
              <w:top w:val="single" w:sz="4" w:space="0" w:color="auto"/>
              <w:bottom w:val="single" w:sz="4" w:space="0" w:color="auto"/>
            </w:tcBorders>
          </w:tcPr>
          <w:p w14:paraId="0E5E5177" w14:textId="2CE11871" w:rsidR="001722AF" w:rsidRDefault="001722AF" w:rsidP="001722AF">
            <w:pPr>
              <w:jc w:val="center"/>
            </w:pPr>
            <w:r>
              <w:t>Mean Square</w:t>
            </w:r>
          </w:p>
        </w:tc>
        <w:tc>
          <w:tcPr>
            <w:tcW w:w="1263" w:type="dxa"/>
            <w:tcBorders>
              <w:top w:val="single" w:sz="4" w:space="0" w:color="auto"/>
              <w:bottom w:val="single" w:sz="4" w:space="0" w:color="auto"/>
            </w:tcBorders>
          </w:tcPr>
          <w:p w14:paraId="5367F09D" w14:textId="36544644" w:rsidR="001722AF" w:rsidRPr="001722AF" w:rsidRDefault="001722AF" w:rsidP="001722AF">
            <w:pPr>
              <w:jc w:val="center"/>
              <w:rPr>
                <w:i/>
                <w:iCs/>
              </w:rPr>
            </w:pPr>
            <w:r w:rsidRPr="001722AF">
              <w:rPr>
                <w:i/>
                <w:iCs/>
              </w:rPr>
              <w:t>F</w:t>
            </w:r>
          </w:p>
        </w:tc>
        <w:tc>
          <w:tcPr>
            <w:tcW w:w="900" w:type="dxa"/>
            <w:tcBorders>
              <w:top w:val="single" w:sz="4" w:space="0" w:color="auto"/>
              <w:bottom w:val="single" w:sz="4" w:space="0" w:color="auto"/>
            </w:tcBorders>
          </w:tcPr>
          <w:p w14:paraId="55869239" w14:textId="5A188055" w:rsidR="001722AF" w:rsidRPr="001722AF" w:rsidRDefault="001722AF" w:rsidP="001722AF">
            <w:pPr>
              <w:jc w:val="center"/>
              <w:rPr>
                <w:i/>
                <w:iCs/>
              </w:rPr>
            </w:pPr>
            <w:r w:rsidRPr="001722AF">
              <w:rPr>
                <w:i/>
                <w:iCs/>
              </w:rPr>
              <w:t>p</w:t>
            </w:r>
          </w:p>
        </w:tc>
      </w:tr>
      <w:tr w:rsidR="001722AF" w14:paraId="765109A8" w14:textId="77777777" w:rsidTr="001722AF">
        <w:tc>
          <w:tcPr>
            <w:tcW w:w="1525" w:type="dxa"/>
            <w:tcBorders>
              <w:top w:val="single" w:sz="4" w:space="0" w:color="auto"/>
            </w:tcBorders>
          </w:tcPr>
          <w:p w14:paraId="0D851EC9" w14:textId="480A580F" w:rsidR="001722AF" w:rsidRDefault="001722AF" w:rsidP="001722AF">
            <w:r>
              <w:t>Therapy</w:t>
            </w:r>
          </w:p>
        </w:tc>
        <w:tc>
          <w:tcPr>
            <w:tcW w:w="1925" w:type="dxa"/>
            <w:tcBorders>
              <w:top w:val="single" w:sz="4" w:space="0" w:color="auto"/>
            </w:tcBorders>
          </w:tcPr>
          <w:p w14:paraId="46FAB3A0" w14:textId="77777777" w:rsidR="001722AF" w:rsidRDefault="001722AF" w:rsidP="001722AF"/>
        </w:tc>
        <w:tc>
          <w:tcPr>
            <w:tcW w:w="685" w:type="dxa"/>
            <w:tcBorders>
              <w:top w:val="single" w:sz="4" w:space="0" w:color="auto"/>
            </w:tcBorders>
          </w:tcPr>
          <w:p w14:paraId="1AC9DA38" w14:textId="77777777" w:rsidR="001722AF" w:rsidRDefault="001722AF" w:rsidP="001722AF"/>
        </w:tc>
        <w:tc>
          <w:tcPr>
            <w:tcW w:w="2157" w:type="dxa"/>
            <w:tcBorders>
              <w:top w:val="single" w:sz="4" w:space="0" w:color="auto"/>
            </w:tcBorders>
          </w:tcPr>
          <w:p w14:paraId="4CC548B2" w14:textId="77777777" w:rsidR="001722AF" w:rsidRDefault="001722AF" w:rsidP="001722AF"/>
        </w:tc>
        <w:tc>
          <w:tcPr>
            <w:tcW w:w="1263" w:type="dxa"/>
            <w:tcBorders>
              <w:top w:val="single" w:sz="4" w:space="0" w:color="auto"/>
            </w:tcBorders>
          </w:tcPr>
          <w:p w14:paraId="4782B0E7" w14:textId="77777777" w:rsidR="001722AF" w:rsidRDefault="001722AF" w:rsidP="001722AF"/>
        </w:tc>
        <w:tc>
          <w:tcPr>
            <w:tcW w:w="900" w:type="dxa"/>
            <w:tcBorders>
              <w:top w:val="single" w:sz="4" w:space="0" w:color="auto"/>
            </w:tcBorders>
          </w:tcPr>
          <w:p w14:paraId="7BC95865" w14:textId="77777777" w:rsidR="001722AF" w:rsidRDefault="001722AF" w:rsidP="001722AF"/>
        </w:tc>
      </w:tr>
      <w:tr w:rsidR="001722AF" w14:paraId="08C9B3F1" w14:textId="77777777" w:rsidTr="001722AF">
        <w:tc>
          <w:tcPr>
            <w:tcW w:w="1525" w:type="dxa"/>
            <w:tcBorders>
              <w:bottom w:val="single" w:sz="4" w:space="0" w:color="auto"/>
            </w:tcBorders>
          </w:tcPr>
          <w:p w14:paraId="1DEC72AF" w14:textId="0E5CD9C1" w:rsidR="001722AF" w:rsidRDefault="001722AF" w:rsidP="001722AF">
            <w:r>
              <w:t>Residuals</w:t>
            </w:r>
          </w:p>
        </w:tc>
        <w:tc>
          <w:tcPr>
            <w:tcW w:w="1925" w:type="dxa"/>
            <w:tcBorders>
              <w:bottom w:val="single" w:sz="4" w:space="0" w:color="auto"/>
            </w:tcBorders>
          </w:tcPr>
          <w:p w14:paraId="12F878C5" w14:textId="77777777" w:rsidR="001722AF" w:rsidRDefault="001722AF" w:rsidP="001722AF"/>
        </w:tc>
        <w:tc>
          <w:tcPr>
            <w:tcW w:w="685" w:type="dxa"/>
            <w:tcBorders>
              <w:bottom w:val="single" w:sz="4" w:space="0" w:color="auto"/>
            </w:tcBorders>
          </w:tcPr>
          <w:p w14:paraId="613DE532" w14:textId="77777777" w:rsidR="001722AF" w:rsidRDefault="001722AF" w:rsidP="001722AF"/>
        </w:tc>
        <w:tc>
          <w:tcPr>
            <w:tcW w:w="2157" w:type="dxa"/>
            <w:tcBorders>
              <w:bottom w:val="single" w:sz="4" w:space="0" w:color="auto"/>
            </w:tcBorders>
          </w:tcPr>
          <w:p w14:paraId="1E8EA1E2" w14:textId="77777777" w:rsidR="001722AF" w:rsidRDefault="001722AF" w:rsidP="001722AF"/>
        </w:tc>
        <w:tc>
          <w:tcPr>
            <w:tcW w:w="1263" w:type="dxa"/>
            <w:tcBorders>
              <w:bottom w:val="single" w:sz="4" w:space="0" w:color="auto"/>
            </w:tcBorders>
          </w:tcPr>
          <w:p w14:paraId="60E51219" w14:textId="77777777" w:rsidR="001722AF" w:rsidRDefault="001722AF" w:rsidP="001722AF"/>
        </w:tc>
        <w:tc>
          <w:tcPr>
            <w:tcW w:w="900" w:type="dxa"/>
            <w:tcBorders>
              <w:bottom w:val="single" w:sz="4" w:space="0" w:color="auto"/>
            </w:tcBorders>
          </w:tcPr>
          <w:p w14:paraId="4EF42F5C" w14:textId="77777777" w:rsidR="001722AF" w:rsidRDefault="001722AF" w:rsidP="001722AF"/>
        </w:tc>
      </w:tr>
      <w:tr w:rsidR="001722AF" w14:paraId="1754DD4A" w14:textId="77777777" w:rsidTr="001722AF">
        <w:tc>
          <w:tcPr>
            <w:tcW w:w="1525" w:type="dxa"/>
            <w:tcBorders>
              <w:top w:val="single" w:sz="4" w:space="0" w:color="auto"/>
              <w:bottom w:val="single" w:sz="4" w:space="0" w:color="auto"/>
            </w:tcBorders>
          </w:tcPr>
          <w:p w14:paraId="3D08DE05" w14:textId="6BC57392" w:rsidR="001722AF" w:rsidRDefault="001722AF" w:rsidP="001722AF">
            <w:r>
              <w:t>Total</w:t>
            </w:r>
          </w:p>
        </w:tc>
        <w:tc>
          <w:tcPr>
            <w:tcW w:w="1925" w:type="dxa"/>
            <w:tcBorders>
              <w:top w:val="single" w:sz="4" w:space="0" w:color="auto"/>
              <w:bottom w:val="single" w:sz="4" w:space="0" w:color="auto"/>
            </w:tcBorders>
          </w:tcPr>
          <w:p w14:paraId="183A4BDF" w14:textId="77777777" w:rsidR="001722AF" w:rsidRDefault="001722AF" w:rsidP="001722AF"/>
        </w:tc>
        <w:tc>
          <w:tcPr>
            <w:tcW w:w="685" w:type="dxa"/>
            <w:tcBorders>
              <w:top w:val="single" w:sz="4" w:space="0" w:color="auto"/>
              <w:bottom w:val="single" w:sz="4" w:space="0" w:color="auto"/>
            </w:tcBorders>
          </w:tcPr>
          <w:p w14:paraId="0F7D6CA0" w14:textId="77777777" w:rsidR="001722AF" w:rsidRDefault="001722AF" w:rsidP="001722AF"/>
        </w:tc>
        <w:tc>
          <w:tcPr>
            <w:tcW w:w="2157" w:type="dxa"/>
            <w:tcBorders>
              <w:top w:val="single" w:sz="4" w:space="0" w:color="auto"/>
              <w:bottom w:val="single" w:sz="4" w:space="0" w:color="auto"/>
            </w:tcBorders>
          </w:tcPr>
          <w:p w14:paraId="59BCFBF5" w14:textId="77777777" w:rsidR="001722AF" w:rsidRDefault="001722AF" w:rsidP="001722AF"/>
        </w:tc>
        <w:tc>
          <w:tcPr>
            <w:tcW w:w="1263" w:type="dxa"/>
            <w:tcBorders>
              <w:top w:val="single" w:sz="4" w:space="0" w:color="auto"/>
              <w:bottom w:val="single" w:sz="4" w:space="0" w:color="auto"/>
            </w:tcBorders>
          </w:tcPr>
          <w:p w14:paraId="421ACAEF" w14:textId="77777777" w:rsidR="001722AF" w:rsidRDefault="001722AF" w:rsidP="001722AF"/>
        </w:tc>
        <w:tc>
          <w:tcPr>
            <w:tcW w:w="900" w:type="dxa"/>
            <w:tcBorders>
              <w:top w:val="single" w:sz="4" w:space="0" w:color="auto"/>
              <w:bottom w:val="single" w:sz="4" w:space="0" w:color="auto"/>
            </w:tcBorders>
          </w:tcPr>
          <w:p w14:paraId="18E80001" w14:textId="77777777" w:rsidR="001722AF" w:rsidRDefault="001722AF" w:rsidP="001722AF"/>
        </w:tc>
      </w:tr>
    </w:tbl>
    <w:p w14:paraId="453C1D92" w14:textId="32C2145B" w:rsidR="004F3E46" w:rsidRDefault="004F3E46">
      <w:pPr>
        <w:pStyle w:val="FirstParagraph"/>
      </w:pPr>
    </w:p>
    <w:p w14:paraId="2E474FA5" w14:textId="7B7001B5" w:rsidR="004F3E46" w:rsidRDefault="00680F37">
      <w:pPr>
        <w:numPr>
          <w:ilvl w:val="0"/>
          <w:numId w:val="4"/>
        </w:numPr>
      </w:pPr>
      <w:r>
        <w:t xml:space="preserve">By </w:t>
      </w:r>
      <w:r>
        <w:t>hand, use a contrast to test whether engagement differs between the</w:t>
      </w:r>
      <w:r w:rsidR="005D0D2F">
        <w:t xml:space="preserve"> standard </w:t>
      </w:r>
      <w:r>
        <w:t>interview and the culturally adapted interview. Show all of your work.</w:t>
      </w:r>
    </w:p>
    <w:p w14:paraId="00C72C1C" w14:textId="433CD300" w:rsidR="004F3E46" w:rsidRDefault="00680F37">
      <w:pPr>
        <w:numPr>
          <w:ilvl w:val="0"/>
          <w:numId w:val="4"/>
        </w:numPr>
      </w:pPr>
      <w:r>
        <w:t xml:space="preserve">Calculate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obv</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med</m:t>
            </m:r>
          </m:sub>
        </m:sSub>
      </m:oMath>
      <w:r>
        <w:t>. Which estimate is larger, and why?</w:t>
      </w:r>
    </w:p>
    <w:p w14:paraId="73F3E65E" w14:textId="77777777" w:rsidR="004F3E46" w:rsidRDefault="00680F37">
      <w:pPr>
        <w:numPr>
          <w:ilvl w:val="0"/>
          <w:numId w:val="4"/>
        </w:numPr>
      </w:pPr>
      <w:r>
        <w:t>Sup</w:t>
      </w:r>
      <w:r>
        <w:t xml:space="preserve">pose that you are planning a replication study, and to be conservative, you’d like to be able to detect a smaller effect than the one you observed in this study. Using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.20</m:t>
            </m:r>
          </m:sub>
        </m:sSub>
      </m:oMath>
      <w:r>
        <w:t xml:space="preserve"> as an estimate of the effect size, carry out a power analysis to determine how man</w:t>
      </w:r>
      <w:r>
        <w:t xml:space="preserve">y people you will need per group. Assume that </w:t>
      </w:r>
      <m:oMath>
        <m:r>
          <w:rPr>
            <w:rFonts w:ascii="Cambria Math" w:hAnsi="Cambria Math"/>
          </w:rPr>
          <m:t>α</m:t>
        </m:r>
        <m:r>
          <w:rPr>
            <w:rFonts w:ascii="Cambria Math" w:hAnsi="Cambria Math"/>
          </w:rPr>
          <m:t>=.05</m:t>
        </m:r>
      </m:oMath>
      <w:r>
        <w:t xml:space="preserve"> and you want 80% power.</w:t>
      </w:r>
    </w:p>
    <w:sectPr w:rsidR="004F3E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E0D64" w14:textId="77777777" w:rsidR="00680F37" w:rsidRDefault="00680F37">
      <w:pPr>
        <w:spacing w:after="0"/>
      </w:pPr>
      <w:r>
        <w:separator/>
      </w:r>
    </w:p>
  </w:endnote>
  <w:endnote w:type="continuationSeparator" w:id="0">
    <w:p w14:paraId="2E38E7BD" w14:textId="77777777" w:rsidR="00680F37" w:rsidRDefault="00680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005E3" w14:textId="77777777" w:rsidR="00680F37" w:rsidRDefault="00680F37">
      <w:r>
        <w:separator/>
      </w:r>
    </w:p>
  </w:footnote>
  <w:footnote w:type="continuationSeparator" w:id="0">
    <w:p w14:paraId="1BCEF2DE" w14:textId="77777777" w:rsidR="00680F37" w:rsidRDefault="00680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0901C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4325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36EEAB1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3" w15:restartNumberingAfterBreak="0">
    <w:nsid w:val="71315DCA"/>
    <w:multiLevelType w:val="multilevel"/>
    <w:tmpl w:val="25DCD75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4">
    <w:abstractNumId w:val="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22AF"/>
    <w:rsid w:val="004D79C7"/>
    <w:rsid w:val="004E29B3"/>
    <w:rsid w:val="004F3E46"/>
    <w:rsid w:val="00590D07"/>
    <w:rsid w:val="005D0D2F"/>
    <w:rsid w:val="00680F37"/>
    <w:rsid w:val="00784D58"/>
    <w:rsid w:val="008D6863"/>
    <w:rsid w:val="008E434C"/>
    <w:rsid w:val="00965249"/>
    <w:rsid w:val="00B86B75"/>
    <w:rsid w:val="00BC48D5"/>
    <w:rsid w:val="00C36279"/>
    <w:rsid w:val="00E315A3"/>
    <w:rsid w:val="00E33327"/>
    <w:rsid w:val="00F672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446DC"/>
  <w15:docId w15:val="{7DE4F757-B438-784D-8A74-3D406D31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722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Midterm Exam</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creator>Psyc5501</dc:creator>
  <cp:keywords/>
  <cp:lastModifiedBy>Brooke Magnus</cp:lastModifiedBy>
  <cp:revision>3</cp:revision>
  <dcterms:created xsi:type="dcterms:W3CDTF">2020-10-29T14:43:00Z</dcterms:created>
  <dcterms:modified xsi:type="dcterms:W3CDTF">2020-10-29T14:44:00Z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11/3</vt:lpwstr>
  </property>
  <property fmtid="{D5CDD505-2E9C-101B-9397-08002B2CF9AE}" pid="3" name="output">
    <vt:lpwstr/>
  </property>
</Properties>
</file>