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18889" w14:textId="77777777" w:rsidR="001A629C" w:rsidRDefault="00000000">
      <w:pPr>
        <w:spacing w:before="480" w:after="120"/>
        <w:jc w:val="center"/>
      </w:pPr>
      <w:r>
        <w:rPr>
          <w:rFonts w:ascii="Arial" w:eastAsia="Arial" w:hAnsi="Arial" w:cs="Arial"/>
          <w:b/>
          <w:bCs/>
          <w:color w:val="2980B9"/>
          <w:sz w:val="18"/>
          <w:szCs w:val="18"/>
        </w:rPr>
        <w:t>MASTER THESIS — STRUCTURE &amp; OUTLINE</w:t>
      </w:r>
    </w:p>
    <w:p w14:paraId="78AFD2AC" w14:textId="77777777" w:rsidR="001A629C" w:rsidRDefault="00000000">
      <w:pPr>
        <w:spacing w:before="120" w:after="60"/>
        <w:jc w:val="center"/>
      </w:pPr>
      <w:r>
        <w:rPr>
          <w:rFonts w:ascii="Arial" w:eastAsia="Arial" w:hAnsi="Arial" w:cs="Arial"/>
          <w:b/>
          <w:bCs/>
          <w:color w:val="1F3864"/>
          <w:sz w:val="36"/>
          <w:szCs w:val="36"/>
        </w:rPr>
        <w:t>Transfer Learning for Cross-Market Commodity Return Forecasting:</w:t>
      </w:r>
    </w:p>
    <w:p w14:paraId="0C3207B3" w14:textId="77777777" w:rsidR="001A629C" w:rsidRDefault="00000000">
      <w:pPr>
        <w:spacing w:before="60" w:after="480"/>
        <w:jc w:val="center"/>
      </w:pPr>
      <w:r>
        <w:rPr>
          <w:rFonts w:ascii="Arial" w:eastAsia="Arial" w:hAnsi="Arial" w:cs="Arial"/>
          <w:color w:val="2E4A7A"/>
          <w:sz w:val="28"/>
          <w:szCs w:val="28"/>
        </w:rPr>
        <w:t>Leveraging Data-Rich Markets to Improve Predictions in Data-Sparse Economies</w:t>
      </w:r>
    </w:p>
    <w:p w14:paraId="765E1133" w14:textId="77777777" w:rsidR="001A629C" w:rsidRDefault="001A629C">
      <w:pPr>
        <w:pBdr>
          <w:bottom w:val="single" w:sz="8" w:space="1" w:color="2E4A7A"/>
        </w:pBdr>
        <w:spacing w:before="60" w:after="180"/>
      </w:pPr>
    </w:p>
    <w:p w14:paraId="11C6D40E" w14:textId="77777777" w:rsidR="001A629C" w:rsidRDefault="001A629C">
      <w:pPr>
        <w:spacing w:before="120" w:after="60"/>
      </w:pPr>
    </w:p>
    <w:p w14:paraId="13C1E0C0" w14:textId="77777777" w:rsidR="001A629C" w:rsidRDefault="00000000">
      <w:pPr>
        <w:spacing w:before="60" w:after="60"/>
        <w:jc w:val="center"/>
      </w:pPr>
      <w:r>
        <w:rPr>
          <w:rFonts w:ascii="Arial" w:eastAsia="Arial" w:hAnsi="Arial" w:cs="Arial"/>
          <w:b/>
          <w:bCs/>
          <w:color w:val="5A5A5A"/>
        </w:rPr>
        <w:t>Target length:  ~50 pages  |  ~18,000 words</w:t>
      </w:r>
    </w:p>
    <w:p w14:paraId="0FD7DA0E" w14:textId="77777777" w:rsidR="001A629C" w:rsidRDefault="00000000">
      <w:pPr>
        <w:spacing w:before="60" w:after="480"/>
        <w:jc w:val="center"/>
      </w:pPr>
      <w:r>
        <w:rPr>
          <w:i/>
          <w:iCs/>
          <w:color w:val="5A5A5A"/>
        </w:rPr>
        <w:t>7 chapters  +  appendices  |  A4, 12 pt, 1.5 line spacing</w:t>
      </w:r>
    </w:p>
    <w:p w14:paraId="66D4F651" w14:textId="77777777" w:rsidR="001A629C" w:rsidRDefault="001A629C">
      <w:pPr>
        <w:spacing w:before="120" w:after="120"/>
      </w:pPr>
    </w:p>
    <w:p w14:paraId="12FA7A37" w14:textId="77777777" w:rsidR="001A629C" w:rsidRDefault="00000000">
      <w:pPr>
        <w:spacing w:before="120" w:after="180"/>
      </w:pPr>
      <w:r>
        <w:rPr>
          <w:rFonts w:ascii="Arial" w:eastAsia="Arial" w:hAnsi="Arial" w:cs="Arial"/>
          <w:b/>
          <w:bCs/>
          <w:color w:val="1F3864"/>
          <w:sz w:val="26"/>
          <w:szCs w:val="26"/>
        </w:rPr>
        <w:t>Thesis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0"/>
        <w:gridCol w:w="1430"/>
        <w:gridCol w:w="1430"/>
      </w:tblGrid>
      <w:tr w:rsidR="001A629C" w14:paraId="635A5351" w14:textId="77777777">
        <w:tblPrEx>
          <w:tblCellMar>
            <w:top w:w="0" w:type="dxa"/>
            <w:bottom w:w="0" w:type="dxa"/>
          </w:tblCellMar>
        </w:tblPrEx>
        <w:tc>
          <w:tcPr>
            <w:tcW w:w="1500" w:type="dxa"/>
            <w:tcBorders>
              <w:top w:val="single" w:sz="1" w:space="0" w:color="C0D6E8"/>
              <w:left w:val="single" w:sz="1" w:space="0" w:color="C0D6E8"/>
              <w:bottom w:val="single" w:sz="1" w:space="0" w:color="C0D6E8"/>
              <w:right w:val="single" w:sz="1" w:space="0" w:color="C0D6E8"/>
            </w:tcBorders>
            <w:shd w:val="clear" w:color="auto" w:fill="2E4A7A"/>
            <w:tcMar>
              <w:top w:w="80" w:type="dxa"/>
              <w:left w:w="120" w:type="dxa"/>
              <w:bottom w:w="80" w:type="dxa"/>
              <w:right w:w="120" w:type="dxa"/>
            </w:tcMar>
          </w:tcPr>
          <w:p w14:paraId="2E2F3BF7" w14:textId="77777777" w:rsidR="001A629C" w:rsidRDefault="00000000">
            <w:r>
              <w:rPr>
                <w:rFonts w:ascii="Arial" w:eastAsia="Arial" w:hAnsi="Arial" w:cs="Arial"/>
                <w:b/>
                <w:bCs/>
                <w:color w:val="FFFFFF"/>
                <w:sz w:val="20"/>
                <w:szCs w:val="20"/>
              </w:rPr>
              <w:t>Chapter</w:t>
            </w:r>
          </w:p>
        </w:tc>
        <w:tc>
          <w:tcPr>
            <w:tcW w:w="5000" w:type="dxa"/>
            <w:tcBorders>
              <w:top w:val="single" w:sz="1" w:space="0" w:color="C0D6E8"/>
              <w:left w:val="single" w:sz="1" w:space="0" w:color="C0D6E8"/>
              <w:bottom w:val="single" w:sz="1" w:space="0" w:color="C0D6E8"/>
              <w:right w:val="single" w:sz="1" w:space="0" w:color="C0D6E8"/>
            </w:tcBorders>
            <w:shd w:val="clear" w:color="auto" w:fill="2E4A7A"/>
            <w:tcMar>
              <w:top w:w="80" w:type="dxa"/>
              <w:left w:w="120" w:type="dxa"/>
              <w:bottom w:w="80" w:type="dxa"/>
              <w:right w:w="120" w:type="dxa"/>
            </w:tcMar>
          </w:tcPr>
          <w:p w14:paraId="651C3E1B" w14:textId="77777777" w:rsidR="001A629C" w:rsidRDefault="00000000">
            <w:r>
              <w:rPr>
                <w:rFonts w:ascii="Arial" w:eastAsia="Arial" w:hAnsi="Arial" w:cs="Arial"/>
                <w:b/>
                <w:bCs/>
                <w:color w:val="FFFFFF"/>
                <w:sz w:val="20"/>
                <w:szCs w:val="20"/>
              </w:rPr>
              <w:t>Title</w:t>
            </w:r>
          </w:p>
        </w:tc>
        <w:tc>
          <w:tcPr>
            <w:tcW w:w="1430" w:type="dxa"/>
            <w:tcBorders>
              <w:top w:val="single" w:sz="1" w:space="0" w:color="C0D6E8"/>
              <w:left w:val="single" w:sz="1" w:space="0" w:color="C0D6E8"/>
              <w:bottom w:val="single" w:sz="1" w:space="0" w:color="C0D6E8"/>
              <w:right w:val="single" w:sz="1" w:space="0" w:color="C0D6E8"/>
            </w:tcBorders>
            <w:shd w:val="clear" w:color="auto" w:fill="2E4A7A"/>
            <w:tcMar>
              <w:top w:w="80" w:type="dxa"/>
              <w:left w:w="120" w:type="dxa"/>
              <w:bottom w:w="80" w:type="dxa"/>
              <w:right w:w="120" w:type="dxa"/>
            </w:tcMar>
          </w:tcPr>
          <w:p w14:paraId="078787AD" w14:textId="77777777" w:rsidR="001A629C" w:rsidRDefault="00000000">
            <w:r>
              <w:rPr>
                <w:rFonts w:ascii="Arial" w:eastAsia="Arial" w:hAnsi="Arial" w:cs="Arial"/>
                <w:b/>
                <w:bCs/>
                <w:color w:val="FFFFFF"/>
                <w:sz w:val="20"/>
                <w:szCs w:val="20"/>
              </w:rPr>
              <w:t>Pages</w:t>
            </w:r>
          </w:p>
        </w:tc>
        <w:tc>
          <w:tcPr>
            <w:tcW w:w="1430" w:type="dxa"/>
            <w:tcBorders>
              <w:top w:val="single" w:sz="1" w:space="0" w:color="C0D6E8"/>
              <w:left w:val="single" w:sz="1" w:space="0" w:color="C0D6E8"/>
              <w:bottom w:val="single" w:sz="1" w:space="0" w:color="C0D6E8"/>
              <w:right w:val="single" w:sz="1" w:space="0" w:color="C0D6E8"/>
            </w:tcBorders>
            <w:shd w:val="clear" w:color="auto" w:fill="2E4A7A"/>
            <w:tcMar>
              <w:top w:w="80" w:type="dxa"/>
              <w:left w:w="120" w:type="dxa"/>
              <w:bottom w:w="80" w:type="dxa"/>
              <w:right w:w="120" w:type="dxa"/>
            </w:tcMar>
          </w:tcPr>
          <w:p w14:paraId="756CA09B" w14:textId="77777777" w:rsidR="001A629C" w:rsidRDefault="00000000">
            <w:r>
              <w:rPr>
                <w:rFonts w:ascii="Arial" w:eastAsia="Arial" w:hAnsi="Arial" w:cs="Arial"/>
                <w:b/>
                <w:bCs/>
                <w:color w:val="FFFFFF"/>
                <w:sz w:val="20"/>
                <w:szCs w:val="20"/>
              </w:rPr>
              <w:t>Words</w:t>
            </w:r>
          </w:p>
        </w:tc>
      </w:tr>
      <w:tr w:rsidR="001A629C" w14:paraId="5ACBB4A2" w14:textId="77777777">
        <w:tblPrEx>
          <w:tblCellMar>
            <w:top w:w="0" w:type="dxa"/>
            <w:bottom w:w="0" w:type="dxa"/>
          </w:tblCellMar>
        </w:tblPrEx>
        <w:tc>
          <w:tcPr>
            <w:tcW w:w="150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1B3B31C1" w14:textId="77777777" w:rsidR="001A629C" w:rsidRDefault="00000000">
            <w:r>
              <w:rPr>
                <w:rFonts w:ascii="Arial" w:eastAsia="Arial" w:hAnsi="Arial" w:cs="Arial"/>
                <w:b/>
                <w:bCs/>
                <w:color w:val="2E4A7A"/>
                <w:sz w:val="20"/>
                <w:szCs w:val="20"/>
              </w:rPr>
              <w:t>Ch. 1</w:t>
            </w:r>
          </w:p>
        </w:tc>
        <w:tc>
          <w:tcPr>
            <w:tcW w:w="500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48F07F19" w14:textId="77777777" w:rsidR="001A629C" w:rsidRDefault="00000000">
            <w:r>
              <w:rPr>
                <w:rFonts w:ascii="Arial" w:eastAsia="Arial" w:hAnsi="Arial" w:cs="Arial"/>
                <w:color w:val="5A5A5A"/>
                <w:sz w:val="20"/>
                <w:szCs w:val="20"/>
              </w:rPr>
              <w:t>Introduction</w:t>
            </w:r>
          </w:p>
        </w:tc>
        <w:tc>
          <w:tcPr>
            <w:tcW w:w="143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4D48AE95" w14:textId="77777777" w:rsidR="001A629C" w:rsidRDefault="00000000">
            <w:pPr>
              <w:jc w:val="center"/>
            </w:pPr>
            <w:r>
              <w:rPr>
                <w:rFonts w:ascii="Arial" w:eastAsia="Arial" w:hAnsi="Arial" w:cs="Arial"/>
                <w:color w:val="5A5A5A"/>
                <w:sz w:val="20"/>
                <w:szCs w:val="20"/>
              </w:rPr>
              <w:t>~4–5</w:t>
            </w:r>
          </w:p>
        </w:tc>
        <w:tc>
          <w:tcPr>
            <w:tcW w:w="143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785E756C" w14:textId="77777777" w:rsidR="001A629C" w:rsidRDefault="00000000">
            <w:pPr>
              <w:jc w:val="center"/>
            </w:pPr>
            <w:r>
              <w:rPr>
                <w:rFonts w:ascii="Arial" w:eastAsia="Arial" w:hAnsi="Arial" w:cs="Arial"/>
                <w:color w:val="5A5A5A"/>
                <w:sz w:val="20"/>
                <w:szCs w:val="20"/>
              </w:rPr>
              <w:t>~1,500</w:t>
            </w:r>
          </w:p>
        </w:tc>
      </w:tr>
      <w:tr w:rsidR="001A629C" w14:paraId="3AA2E6B1" w14:textId="77777777">
        <w:tblPrEx>
          <w:tblCellMar>
            <w:top w:w="0" w:type="dxa"/>
            <w:bottom w:w="0" w:type="dxa"/>
          </w:tblCellMar>
        </w:tblPrEx>
        <w:tc>
          <w:tcPr>
            <w:tcW w:w="150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53DD8331" w14:textId="77777777" w:rsidR="001A629C" w:rsidRDefault="00000000">
            <w:r>
              <w:rPr>
                <w:rFonts w:ascii="Arial" w:eastAsia="Arial" w:hAnsi="Arial" w:cs="Arial"/>
                <w:b/>
                <w:bCs/>
                <w:color w:val="2E4A7A"/>
                <w:sz w:val="20"/>
                <w:szCs w:val="20"/>
              </w:rPr>
              <w:t>Ch. 2</w:t>
            </w:r>
          </w:p>
        </w:tc>
        <w:tc>
          <w:tcPr>
            <w:tcW w:w="500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73FECE8E" w14:textId="77777777" w:rsidR="001A629C" w:rsidRDefault="00000000">
            <w:r>
              <w:rPr>
                <w:rFonts w:ascii="Arial" w:eastAsia="Arial" w:hAnsi="Arial" w:cs="Arial"/>
                <w:color w:val="5A5A5A"/>
                <w:sz w:val="20"/>
                <w:szCs w:val="20"/>
              </w:rPr>
              <w:t>Literature Review</w:t>
            </w:r>
          </w:p>
        </w:tc>
        <w:tc>
          <w:tcPr>
            <w:tcW w:w="143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11472309" w14:textId="77777777" w:rsidR="001A629C" w:rsidRDefault="00000000">
            <w:pPr>
              <w:jc w:val="center"/>
            </w:pPr>
            <w:r>
              <w:rPr>
                <w:rFonts w:ascii="Arial" w:eastAsia="Arial" w:hAnsi="Arial" w:cs="Arial"/>
                <w:color w:val="5A5A5A"/>
                <w:sz w:val="20"/>
                <w:szCs w:val="20"/>
              </w:rPr>
              <w:t>~8–10</w:t>
            </w:r>
          </w:p>
        </w:tc>
        <w:tc>
          <w:tcPr>
            <w:tcW w:w="143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7117D713" w14:textId="77777777" w:rsidR="001A629C" w:rsidRDefault="00000000">
            <w:pPr>
              <w:jc w:val="center"/>
            </w:pPr>
            <w:r>
              <w:rPr>
                <w:rFonts w:ascii="Arial" w:eastAsia="Arial" w:hAnsi="Arial" w:cs="Arial"/>
                <w:color w:val="5A5A5A"/>
                <w:sz w:val="20"/>
                <w:szCs w:val="20"/>
              </w:rPr>
              <w:t>~3,200</w:t>
            </w:r>
          </w:p>
        </w:tc>
      </w:tr>
      <w:tr w:rsidR="001A629C" w14:paraId="7754FDBF" w14:textId="77777777">
        <w:tblPrEx>
          <w:tblCellMar>
            <w:top w:w="0" w:type="dxa"/>
            <w:bottom w:w="0" w:type="dxa"/>
          </w:tblCellMar>
        </w:tblPrEx>
        <w:tc>
          <w:tcPr>
            <w:tcW w:w="150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1678F8A2" w14:textId="77777777" w:rsidR="001A629C" w:rsidRDefault="00000000">
            <w:r>
              <w:rPr>
                <w:rFonts w:ascii="Arial" w:eastAsia="Arial" w:hAnsi="Arial" w:cs="Arial"/>
                <w:b/>
                <w:bCs/>
                <w:color w:val="2E4A7A"/>
                <w:sz w:val="20"/>
                <w:szCs w:val="20"/>
              </w:rPr>
              <w:t>Ch. 3</w:t>
            </w:r>
          </w:p>
        </w:tc>
        <w:tc>
          <w:tcPr>
            <w:tcW w:w="500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39E71AA5" w14:textId="77777777" w:rsidR="001A629C" w:rsidRDefault="00000000">
            <w:r>
              <w:rPr>
                <w:rFonts w:ascii="Arial" w:eastAsia="Arial" w:hAnsi="Arial" w:cs="Arial"/>
                <w:color w:val="5A5A5A"/>
                <w:sz w:val="20"/>
                <w:szCs w:val="20"/>
              </w:rPr>
              <w:t>Commodity Markets &amp; Data</w:t>
            </w:r>
          </w:p>
        </w:tc>
        <w:tc>
          <w:tcPr>
            <w:tcW w:w="143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71F603D4" w14:textId="77777777" w:rsidR="001A629C" w:rsidRDefault="00000000">
            <w:pPr>
              <w:jc w:val="center"/>
            </w:pPr>
            <w:r>
              <w:rPr>
                <w:rFonts w:ascii="Arial" w:eastAsia="Arial" w:hAnsi="Arial" w:cs="Arial"/>
                <w:color w:val="5A5A5A"/>
                <w:sz w:val="20"/>
                <w:szCs w:val="20"/>
              </w:rPr>
              <w:t>~6–7</w:t>
            </w:r>
          </w:p>
        </w:tc>
        <w:tc>
          <w:tcPr>
            <w:tcW w:w="143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05FDDEB2" w14:textId="77777777" w:rsidR="001A629C" w:rsidRDefault="00000000">
            <w:pPr>
              <w:jc w:val="center"/>
            </w:pPr>
            <w:r>
              <w:rPr>
                <w:rFonts w:ascii="Arial" w:eastAsia="Arial" w:hAnsi="Arial" w:cs="Arial"/>
                <w:color w:val="5A5A5A"/>
                <w:sz w:val="20"/>
                <w:szCs w:val="20"/>
              </w:rPr>
              <w:t>~2,200</w:t>
            </w:r>
          </w:p>
        </w:tc>
      </w:tr>
      <w:tr w:rsidR="001A629C" w14:paraId="71E86F37" w14:textId="77777777">
        <w:tblPrEx>
          <w:tblCellMar>
            <w:top w:w="0" w:type="dxa"/>
            <w:bottom w:w="0" w:type="dxa"/>
          </w:tblCellMar>
        </w:tblPrEx>
        <w:tc>
          <w:tcPr>
            <w:tcW w:w="150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1297733D" w14:textId="77777777" w:rsidR="001A629C" w:rsidRDefault="00000000">
            <w:r>
              <w:rPr>
                <w:rFonts w:ascii="Arial" w:eastAsia="Arial" w:hAnsi="Arial" w:cs="Arial"/>
                <w:b/>
                <w:bCs/>
                <w:color w:val="2E4A7A"/>
                <w:sz w:val="20"/>
                <w:szCs w:val="20"/>
              </w:rPr>
              <w:t>Ch. 4</w:t>
            </w:r>
          </w:p>
        </w:tc>
        <w:tc>
          <w:tcPr>
            <w:tcW w:w="500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572C9F89" w14:textId="77777777" w:rsidR="001A629C" w:rsidRDefault="00000000">
            <w:r>
              <w:rPr>
                <w:rFonts w:ascii="Arial" w:eastAsia="Arial" w:hAnsi="Arial" w:cs="Arial"/>
                <w:color w:val="5A5A5A"/>
                <w:sz w:val="20"/>
                <w:szCs w:val="20"/>
              </w:rPr>
              <w:t>Methodology</w:t>
            </w:r>
          </w:p>
        </w:tc>
        <w:tc>
          <w:tcPr>
            <w:tcW w:w="143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65F12355" w14:textId="77777777" w:rsidR="001A629C" w:rsidRDefault="00000000">
            <w:pPr>
              <w:jc w:val="center"/>
            </w:pPr>
            <w:r>
              <w:rPr>
                <w:rFonts w:ascii="Arial" w:eastAsia="Arial" w:hAnsi="Arial" w:cs="Arial"/>
                <w:color w:val="5A5A5A"/>
                <w:sz w:val="20"/>
                <w:szCs w:val="20"/>
              </w:rPr>
              <w:t>~8–10</w:t>
            </w:r>
          </w:p>
        </w:tc>
        <w:tc>
          <w:tcPr>
            <w:tcW w:w="143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6EE5688A" w14:textId="77777777" w:rsidR="001A629C" w:rsidRDefault="00000000">
            <w:pPr>
              <w:jc w:val="center"/>
            </w:pPr>
            <w:r>
              <w:rPr>
                <w:rFonts w:ascii="Arial" w:eastAsia="Arial" w:hAnsi="Arial" w:cs="Arial"/>
                <w:color w:val="5A5A5A"/>
                <w:sz w:val="20"/>
                <w:szCs w:val="20"/>
              </w:rPr>
              <w:t>~3,000</w:t>
            </w:r>
          </w:p>
        </w:tc>
      </w:tr>
      <w:tr w:rsidR="001A629C" w14:paraId="608F7079" w14:textId="77777777">
        <w:tblPrEx>
          <w:tblCellMar>
            <w:top w:w="0" w:type="dxa"/>
            <w:bottom w:w="0" w:type="dxa"/>
          </w:tblCellMar>
        </w:tblPrEx>
        <w:tc>
          <w:tcPr>
            <w:tcW w:w="150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7CFF7F32" w14:textId="77777777" w:rsidR="001A629C" w:rsidRDefault="00000000">
            <w:r>
              <w:rPr>
                <w:rFonts w:ascii="Arial" w:eastAsia="Arial" w:hAnsi="Arial" w:cs="Arial"/>
                <w:b/>
                <w:bCs/>
                <w:color w:val="2E4A7A"/>
                <w:sz w:val="20"/>
                <w:szCs w:val="20"/>
              </w:rPr>
              <w:t>Ch. 5</w:t>
            </w:r>
          </w:p>
        </w:tc>
        <w:tc>
          <w:tcPr>
            <w:tcW w:w="500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70BFA8DB" w14:textId="77777777" w:rsidR="001A629C" w:rsidRDefault="00000000">
            <w:r>
              <w:rPr>
                <w:rFonts w:ascii="Arial" w:eastAsia="Arial" w:hAnsi="Arial" w:cs="Arial"/>
                <w:color w:val="5A5A5A"/>
                <w:sz w:val="20"/>
                <w:szCs w:val="20"/>
              </w:rPr>
              <w:t>Empirical Results</w:t>
            </w:r>
          </w:p>
        </w:tc>
        <w:tc>
          <w:tcPr>
            <w:tcW w:w="143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03BDD7F7" w14:textId="77777777" w:rsidR="001A629C" w:rsidRDefault="00000000">
            <w:pPr>
              <w:jc w:val="center"/>
            </w:pPr>
            <w:r>
              <w:rPr>
                <w:rFonts w:ascii="Arial" w:eastAsia="Arial" w:hAnsi="Arial" w:cs="Arial"/>
                <w:color w:val="5A5A5A"/>
                <w:sz w:val="20"/>
                <w:szCs w:val="20"/>
              </w:rPr>
              <w:t>~8–10</w:t>
            </w:r>
          </w:p>
        </w:tc>
        <w:tc>
          <w:tcPr>
            <w:tcW w:w="143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2512E2B1" w14:textId="77777777" w:rsidR="001A629C" w:rsidRDefault="00000000">
            <w:pPr>
              <w:jc w:val="center"/>
            </w:pPr>
            <w:r>
              <w:rPr>
                <w:rFonts w:ascii="Arial" w:eastAsia="Arial" w:hAnsi="Arial" w:cs="Arial"/>
                <w:color w:val="5A5A5A"/>
                <w:sz w:val="20"/>
                <w:szCs w:val="20"/>
              </w:rPr>
              <w:t>~3,000</w:t>
            </w:r>
          </w:p>
        </w:tc>
      </w:tr>
      <w:tr w:rsidR="001A629C" w14:paraId="4CD2C167" w14:textId="77777777">
        <w:tblPrEx>
          <w:tblCellMar>
            <w:top w:w="0" w:type="dxa"/>
            <w:bottom w:w="0" w:type="dxa"/>
          </w:tblCellMar>
        </w:tblPrEx>
        <w:tc>
          <w:tcPr>
            <w:tcW w:w="150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79DAB96E" w14:textId="77777777" w:rsidR="001A629C" w:rsidRDefault="00000000">
            <w:r>
              <w:rPr>
                <w:rFonts w:ascii="Arial" w:eastAsia="Arial" w:hAnsi="Arial" w:cs="Arial"/>
                <w:b/>
                <w:bCs/>
                <w:color w:val="2E4A7A"/>
                <w:sz w:val="20"/>
                <w:szCs w:val="20"/>
              </w:rPr>
              <w:t>Ch. 6</w:t>
            </w:r>
          </w:p>
        </w:tc>
        <w:tc>
          <w:tcPr>
            <w:tcW w:w="500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5708AB3E" w14:textId="77777777" w:rsidR="001A629C" w:rsidRDefault="00000000">
            <w:r>
              <w:rPr>
                <w:rFonts w:ascii="Arial" w:eastAsia="Arial" w:hAnsi="Arial" w:cs="Arial"/>
                <w:color w:val="5A5A5A"/>
                <w:sz w:val="20"/>
                <w:szCs w:val="20"/>
              </w:rPr>
              <w:t>Discussion</w:t>
            </w:r>
          </w:p>
        </w:tc>
        <w:tc>
          <w:tcPr>
            <w:tcW w:w="143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029E5427" w14:textId="77777777" w:rsidR="001A629C" w:rsidRDefault="00000000">
            <w:pPr>
              <w:jc w:val="center"/>
            </w:pPr>
            <w:r>
              <w:rPr>
                <w:rFonts w:ascii="Arial" w:eastAsia="Arial" w:hAnsi="Arial" w:cs="Arial"/>
                <w:color w:val="5A5A5A"/>
                <w:sz w:val="20"/>
                <w:szCs w:val="20"/>
              </w:rPr>
              <w:t>~5–6</w:t>
            </w:r>
          </w:p>
        </w:tc>
        <w:tc>
          <w:tcPr>
            <w:tcW w:w="143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0F0EFB7E" w14:textId="77777777" w:rsidR="001A629C" w:rsidRDefault="00000000">
            <w:pPr>
              <w:jc w:val="center"/>
            </w:pPr>
            <w:r>
              <w:rPr>
                <w:rFonts w:ascii="Arial" w:eastAsia="Arial" w:hAnsi="Arial" w:cs="Arial"/>
                <w:color w:val="5A5A5A"/>
                <w:sz w:val="20"/>
                <w:szCs w:val="20"/>
              </w:rPr>
              <w:t>~2,000</w:t>
            </w:r>
          </w:p>
        </w:tc>
      </w:tr>
      <w:tr w:rsidR="001A629C" w14:paraId="1BCEFC18" w14:textId="77777777">
        <w:tblPrEx>
          <w:tblCellMar>
            <w:top w:w="0" w:type="dxa"/>
            <w:bottom w:w="0" w:type="dxa"/>
          </w:tblCellMar>
        </w:tblPrEx>
        <w:tc>
          <w:tcPr>
            <w:tcW w:w="150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4C5278D7" w14:textId="77777777" w:rsidR="001A629C" w:rsidRDefault="00000000">
            <w:r>
              <w:rPr>
                <w:rFonts w:ascii="Arial" w:eastAsia="Arial" w:hAnsi="Arial" w:cs="Arial"/>
                <w:b/>
                <w:bCs/>
                <w:color w:val="2E4A7A"/>
                <w:sz w:val="20"/>
                <w:szCs w:val="20"/>
              </w:rPr>
              <w:t>Ch. 7</w:t>
            </w:r>
          </w:p>
        </w:tc>
        <w:tc>
          <w:tcPr>
            <w:tcW w:w="500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12F2A394" w14:textId="77777777" w:rsidR="001A629C" w:rsidRDefault="00000000">
            <w:r>
              <w:rPr>
                <w:rFonts w:ascii="Arial" w:eastAsia="Arial" w:hAnsi="Arial" w:cs="Arial"/>
                <w:color w:val="5A5A5A"/>
                <w:sz w:val="20"/>
                <w:szCs w:val="20"/>
              </w:rPr>
              <w:t>Conclusion</w:t>
            </w:r>
          </w:p>
        </w:tc>
        <w:tc>
          <w:tcPr>
            <w:tcW w:w="143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017A2595" w14:textId="77777777" w:rsidR="001A629C" w:rsidRDefault="00000000">
            <w:pPr>
              <w:jc w:val="center"/>
            </w:pPr>
            <w:r>
              <w:rPr>
                <w:rFonts w:ascii="Arial" w:eastAsia="Arial" w:hAnsi="Arial" w:cs="Arial"/>
                <w:color w:val="5A5A5A"/>
                <w:sz w:val="20"/>
                <w:szCs w:val="20"/>
              </w:rPr>
              <w:t>~3–4</w:t>
            </w:r>
          </w:p>
        </w:tc>
        <w:tc>
          <w:tcPr>
            <w:tcW w:w="1430" w:type="dxa"/>
            <w:tcBorders>
              <w:top w:val="single" w:sz="1" w:space="0" w:color="C0D6E8"/>
              <w:left w:val="single" w:sz="1" w:space="0" w:color="C0D6E8"/>
              <w:bottom w:val="single" w:sz="1" w:space="0" w:color="C0D6E8"/>
              <w:right w:val="single" w:sz="1" w:space="0" w:color="C0D6E8"/>
            </w:tcBorders>
            <w:shd w:val="clear" w:color="auto" w:fill="E8F1FA"/>
            <w:tcMar>
              <w:top w:w="80" w:type="dxa"/>
              <w:left w:w="120" w:type="dxa"/>
              <w:bottom w:w="80" w:type="dxa"/>
              <w:right w:w="120" w:type="dxa"/>
            </w:tcMar>
          </w:tcPr>
          <w:p w14:paraId="46007D2D" w14:textId="77777777" w:rsidR="001A629C" w:rsidRDefault="00000000">
            <w:pPr>
              <w:jc w:val="center"/>
            </w:pPr>
            <w:r>
              <w:rPr>
                <w:rFonts w:ascii="Arial" w:eastAsia="Arial" w:hAnsi="Arial" w:cs="Arial"/>
                <w:color w:val="5A5A5A"/>
                <w:sz w:val="20"/>
                <w:szCs w:val="20"/>
              </w:rPr>
              <w:t>~1,200</w:t>
            </w:r>
          </w:p>
        </w:tc>
      </w:tr>
      <w:tr w:rsidR="001A629C" w14:paraId="3703140B" w14:textId="77777777">
        <w:tblPrEx>
          <w:tblCellMar>
            <w:top w:w="0" w:type="dxa"/>
            <w:bottom w:w="0" w:type="dxa"/>
          </w:tblCellMar>
        </w:tblPrEx>
        <w:tc>
          <w:tcPr>
            <w:tcW w:w="150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6EA9F45D" w14:textId="77777777" w:rsidR="001A629C" w:rsidRDefault="00000000">
            <w:r>
              <w:rPr>
                <w:rFonts w:ascii="Arial" w:eastAsia="Arial" w:hAnsi="Arial" w:cs="Arial"/>
                <w:b/>
                <w:bCs/>
                <w:color w:val="2E4A7A"/>
                <w:sz w:val="20"/>
                <w:szCs w:val="20"/>
              </w:rPr>
              <w:t>App.</w:t>
            </w:r>
          </w:p>
        </w:tc>
        <w:tc>
          <w:tcPr>
            <w:tcW w:w="500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09109737" w14:textId="77777777" w:rsidR="001A629C" w:rsidRDefault="00000000">
            <w:r>
              <w:rPr>
                <w:rFonts w:ascii="Arial" w:eastAsia="Arial" w:hAnsi="Arial" w:cs="Arial"/>
                <w:color w:val="5A5A5A"/>
                <w:sz w:val="20"/>
                <w:szCs w:val="20"/>
              </w:rPr>
              <w:t>Appendices / References</w:t>
            </w:r>
          </w:p>
        </w:tc>
        <w:tc>
          <w:tcPr>
            <w:tcW w:w="143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5C85BD2B" w14:textId="77777777" w:rsidR="001A629C" w:rsidRDefault="00000000">
            <w:pPr>
              <w:jc w:val="center"/>
            </w:pPr>
            <w:r>
              <w:rPr>
                <w:rFonts w:ascii="Arial" w:eastAsia="Arial" w:hAnsi="Arial" w:cs="Arial"/>
                <w:color w:val="5A5A5A"/>
                <w:sz w:val="20"/>
                <w:szCs w:val="20"/>
              </w:rPr>
              <w:t>~5–6</w:t>
            </w:r>
          </w:p>
        </w:tc>
        <w:tc>
          <w:tcPr>
            <w:tcW w:w="1430" w:type="dxa"/>
            <w:tcBorders>
              <w:top w:val="single" w:sz="1" w:space="0" w:color="C0D6E8"/>
              <w:left w:val="single" w:sz="1" w:space="0" w:color="C0D6E8"/>
              <w:bottom w:val="single" w:sz="1" w:space="0" w:color="C0D6E8"/>
              <w:right w:val="single" w:sz="1" w:space="0" w:color="C0D6E8"/>
            </w:tcBorders>
            <w:shd w:val="clear" w:color="auto" w:fill="FFFFFF"/>
            <w:tcMar>
              <w:top w:w="80" w:type="dxa"/>
              <w:left w:w="120" w:type="dxa"/>
              <w:bottom w:w="80" w:type="dxa"/>
              <w:right w:w="120" w:type="dxa"/>
            </w:tcMar>
          </w:tcPr>
          <w:p w14:paraId="11B71090" w14:textId="77777777" w:rsidR="001A629C" w:rsidRDefault="00000000">
            <w:pPr>
              <w:jc w:val="center"/>
            </w:pPr>
            <w:r>
              <w:rPr>
                <w:rFonts w:ascii="Arial" w:eastAsia="Arial" w:hAnsi="Arial" w:cs="Arial"/>
                <w:color w:val="5A5A5A"/>
                <w:sz w:val="20"/>
                <w:szCs w:val="20"/>
              </w:rPr>
              <w:t>~1,900</w:t>
            </w:r>
          </w:p>
        </w:tc>
      </w:tr>
    </w:tbl>
    <w:p w14:paraId="0C24B886" w14:textId="77777777" w:rsidR="001A629C" w:rsidRDefault="001A629C">
      <w:pPr>
        <w:spacing w:before="240" w:after="120"/>
      </w:pPr>
    </w:p>
    <w:p w14:paraId="77C7ADF0" w14:textId="77777777" w:rsidR="001A629C" w:rsidRDefault="00000000">
      <w:r>
        <w:br w:type="page"/>
      </w:r>
    </w:p>
    <w:p w14:paraId="4268D868" w14:textId="77777777" w:rsidR="001A629C" w:rsidRDefault="00000000">
      <w:pPr>
        <w:pStyle w:val="Heading1"/>
        <w:pBdr>
          <w:bottom w:val="single" w:sz="6" w:space="2" w:color="D6E4F0"/>
        </w:pBdr>
        <w:spacing w:after="80"/>
      </w:pPr>
      <w:r>
        <w:rPr>
          <w:color w:val="2980B9"/>
        </w:rPr>
        <w:lastRenderedPageBreak/>
        <w:t xml:space="preserve">Chapter 1  </w:t>
      </w:r>
      <w:r>
        <w:rPr>
          <w:color w:val="1F3864"/>
        </w:rPr>
        <w:t>Introduction</w:t>
      </w:r>
    </w:p>
    <w:p w14:paraId="4B42F050" w14:textId="77777777" w:rsidR="001A629C" w:rsidRDefault="00000000">
      <w:pPr>
        <w:spacing w:before="60" w:after="180"/>
      </w:pPr>
      <w:r>
        <w:rPr>
          <w:i/>
          <w:iCs/>
          <w:color w:val="2980B9"/>
          <w:sz w:val="21"/>
          <w:szCs w:val="21"/>
        </w:rPr>
        <w:t>Motivating the research question — approximately 4–5 pages / 1,500 words</w:t>
      </w:r>
    </w:p>
    <w:p w14:paraId="620A016E" w14:textId="77777777" w:rsidR="001A629C" w:rsidRDefault="00000000">
      <w:pPr>
        <w:pStyle w:val="Heading2"/>
      </w:pPr>
      <w:r>
        <w:rPr>
          <w:color w:val="2E4A7A"/>
        </w:rPr>
        <w:t>1.1  Research Motivation &amp; Context</w:t>
      </w:r>
    </w:p>
    <w:p w14:paraId="34E5C708" w14:textId="77777777" w:rsidR="001A629C" w:rsidRDefault="00000000">
      <w:pPr>
        <w:spacing w:before="60" w:after="100"/>
      </w:pPr>
      <w:r>
        <w:rPr>
          <w:color w:val="5A5A5A"/>
        </w:rPr>
        <w:t>Open with the economic importance of commodity markets for emerging and developing economies — how commodity price movements directly affect trade balances, inflation, and fiscal policy in countries such as Nigeria (crude oil), Zambia (copper), or Vietnam (coffee). Contrast this with the depth of financial data infrastructure in developed economies (U.S., Germany, Japan). Establish the core tension: sophisticated forecasting techniques demand large, high-quality historical datasets, yet the countries that arguably need reliable commodity price forecasts the most are precisely those where such datasets are thinnest.</w:t>
      </w:r>
    </w:p>
    <w:p w14:paraId="6E115139" w14:textId="77777777" w:rsidR="001A629C" w:rsidRDefault="00000000">
      <w:pPr>
        <w:pStyle w:val="Heading2"/>
      </w:pPr>
      <w:r>
        <w:rPr>
          <w:color w:val="2E4A7A"/>
        </w:rPr>
        <w:t>1.2  Research Gap &amp; Question</w:t>
      </w:r>
    </w:p>
    <w:p w14:paraId="2965F750" w14:textId="77777777" w:rsidR="001A629C" w:rsidRDefault="00000000">
      <w:pPr>
        <w:spacing w:before="60" w:after="100"/>
      </w:pPr>
      <w:r>
        <w:rPr>
          <w:color w:val="5A5A5A"/>
        </w:rPr>
        <w:t xml:space="preserve">Introduce transfer learning as a candidate solution and situate it within the broader literature. Reference the attached </w:t>
      </w:r>
      <w:proofErr w:type="spellStart"/>
      <w:r>
        <w:rPr>
          <w:color w:val="5A5A5A"/>
        </w:rPr>
        <w:t>Mashetty</w:t>
      </w:r>
      <w:proofErr w:type="spellEnd"/>
      <w:r>
        <w:rPr>
          <w:color w:val="5A5A5A"/>
        </w:rPr>
        <w:t xml:space="preserve"> et al. (2025) paper as a direct conceptual predecessor (equity indices, emerging markets) and articulate the gap it leaves open: equities versus commodities differ structurally — commodity returns are driven by supply shocks, storage costs, convenience yields, and geopolitical factors that do not map neatly onto equity market dynamics.</w:t>
      </w:r>
    </w:p>
    <w:p w14:paraId="47CD786D" w14:textId="77777777" w:rsidR="001A629C" w:rsidRDefault="00000000">
      <w:pPr>
        <w:spacing w:before="60" w:after="100"/>
      </w:pPr>
      <w:r>
        <w:rPr>
          <w:color w:val="5A5A5A"/>
        </w:rPr>
        <w:t>State the central research question explicitly:</w:t>
      </w:r>
    </w:p>
    <w:p w14:paraId="3091C890" w14:textId="77777777" w:rsidR="001A629C" w:rsidRDefault="00000000">
      <w:pPr>
        <w:spacing w:before="60" w:after="80"/>
      </w:pPr>
      <w:r>
        <w:rPr>
          <w:i/>
          <w:iCs/>
          <w:color w:val="2980B9"/>
          <w:sz w:val="20"/>
          <w:szCs w:val="20"/>
        </w:rPr>
        <w:t>"Can transfer learning techniques, pre-trained on data-rich commodity markets, improve cross-market forecasting performance for data-sparse economies, and to what extent does country-specific fine-tuning further enhance predictive accuracy?"</w:t>
      </w:r>
    </w:p>
    <w:p w14:paraId="63C8036B" w14:textId="77777777" w:rsidR="001A629C" w:rsidRDefault="00000000">
      <w:pPr>
        <w:pStyle w:val="Heading2"/>
      </w:pPr>
      <w:r>
        <w:rPr>
          <w:color w:val="2E4A7A"/>
        </w:rPr>
        <w:t>1.3  Contributions of the Thesis</w:t>
      </w:r>
    </w:p>
    <w:p w14:paraId="0B38082D" w14:textId="77777777" w:rsidR="001A629C" w:rsidRDefault="00000000">
      <w:pPr>
        <w:pStyle w:val="ListParagraph"/>
        <w:numPr>
          <w:ilvl w:val="0"/>
          <w:numId w:val="2"/>
        </w:numPr>
        <w:spacing w:before="40" w:after="60"/>
      </w:pPr>
      <w:r>
        <w:rPr>
          <w:color w:val="5A5A5A"/>
        </w:rPr>
        <w:t>First systematic application of cross-market transfer learning specifically to commodity return forecasting in data-sparse economies.</w:t>
      </w:r>
    </w:p>
    <w:p w14:paraId="7F9E53D3" w14:textId="77777777" w:rsidR="001A629C" w:rsidRDefault="00000000">
      <w:pPr>
        <w:pStyle w:val="ListParagraph"/>
        <w:numPr>
          <w:ilvl w:val="0"/>
          <w:numId w:val="2"/>
        </w:numPr>
        <w:spacing w:before="40" w:after="60"/>
      </w:pPr>
      <w:r>
        <w:rPr>
          <w:color w:val="5A5A5A"/>
        </w:rPr>
        <w:t>Empirical benchmark across multiple commodity classes (energy, metals, agricultural) and multiple target countries, going beyond single-index studies.</w:t>
      </w:r>
    </w:p>
    <w:p w14:paraId="7802CFAB" w14:textId="77777777" w:rsidR="001A629C" w:rsidRDefault="00000000">
      <w:pPr>
        <w:pStyle w:val="ListParagraph"/>
        <w:numPr>
          <w:ilvl w:val="0"/>
          <w:numId w:val="2"/>
        </w:numPr>
        <w:spacing w:before="40" w:after="60"/>
      </w:pPr>
      <w:r>
        <w:rPr>
          <w:color w:val="5A5A5A"/>
        </w:rPr>
        <w:t>Quantitative decomposition of the gains attributable to (a) source pre-training, (b) domain adaptation, and (c) country-specific fine-tuning.</w:t>
      </w:r>
    </w:p>
    <w:p w14:paraId="1EE5C371" w14:textId="77777777" w:rsidR="001A629C" w:rsidRDefault="00000000">
      <w:pPr>
        <w:pStyle w:val="ListParagraph"/>
        <w:numPr>
          <w:ilvl w:val="0"/>
          <w:numId w:val="2"/>
        </w:numPr>
        <w:spacing w:before="40" w:after="60"/>
      </w:pPr>
      <w:r>
        <w:rPr>
          <w:color w:val="5A5A5A"/>
        </w:rPr>
        <w:t>Practical guidance for practitioners and policymakers on model selection and data requirements.</w:t>
      </w:r>
    </w:p>
    <w:p w14:paraId="6F878450" w14:textId="77777777" w:rsidR="001A629C" w:rsidRDefault="00000000">
      <w:pPr>
        <w:pStyle w:val="Heading2"/>
      </w:pPr>
      <w:r>
        <w:rPr>
          <w:color w:val="2E4A7A"/>
        </w:rPr>
        <w:t>1.4  Scope &amp; Limitations</w:t>
      </w:r>
    </w:p>
    <w:p w14:paraId="3CEBEF18" w14:textId="77777777" w:rsidR="001A629C" w:rsidRDefault="00000000">
      <w:pPr>
        <w:spacing w:before="60" w:after="100"/>
      </w:pPr>
      <w:r>
        <w:rPr>
          <w:color w:val="5A5A5A"/>
        </w:rPr>
        <w:t>Define which commodities are covered (e.g., Brent crude, copper, soybeans), which source markets (CME/ICE, representing developed-country trading hubs), and which target economies. Briefly flag limitations: the analysis is retrospective (historical returns), country-specific microstructure frictions are abstracted away, and the framework does not constitute investment advice.</w:t>
      </w:r>
    </w:p>
    <w:p w14:paraId="42403347" w14:textId="77777777" w:rsidR="001A629C" w:rsidRDefault="00000000">
      <w:pPr>
        <w:pStyle w:val="Heading2"/>
      </w:pPr>
      <w:r>
        <w:rPr>
          <w:color w:val="2E4A7A"/>
        </w:rPr>
        <w:t>1.5  Thesis Outline</w:t>
      </w:r>
    </w:p>
    <w:p w14:paraId="33FBF02D" w14:textId="77777777" w:rsidR="001A629C" w:rsidRDefault="00000000">
      <w:pPr>
        <w:spacing w:before="60" w:after="100"/>
      </w:pPr>
      <w:r>
        <w:rPr>
          <w:color w:val="5A5A5A"/>
        </w:rPr>
        <w:t>One paragraph per subsequent chapter describing its purpose, so the reader has a roadmap before diving in.</w:t>
      </w:r>
    </w:p>
    <w:p w14:paraId="6339CFD4" w14:textId="77777777" w:rsidR="001A629C" w:rsidRDefault="001A629C">
      <w:pPr>
        <w:spacing w:before="120" w:after="120"/>
      </w:pPr>
    </w:p>
    <w:p w14:paraId="3BE6DDEB" w14:textId="77777777" w:rsidR="001A629C" w:rsidRDefault="00000000">
      <w:r>
        <w:br w:type="page"/>
      </w:r>
    </w:p>
    <w:p w14:paraId="22DC5B69" w14:textId="77777777" w:rsidR="001A629C" w:rsidRDefault="00000000">
      <w:pPr>
        <w:pStyle w:val="Heading1"/>
        <w:pBdr>
          <w:bottom w:val="single" w:sz="6" w:space="2" w:color="D6E4F0"/>
        </w:pBdr>
        <w:spacing w:after="80"/>
      </w:pPr>
      <w:r>
        <w:rPr>
          <w:color w:val="2980B9"/>
        </w:rPr>
        <w:lastRenderedPageBreak/>
        <w:t xml:space="preserve">Chapter 2  </w:t>
      </w:r>
      <w:r>
        <w:rPr>
          <w:color w:val="1F3864"/>
        </w:rPr>
        <w:t>Literature Review</w:t>
      </w:r>
    </w:p>
    <w:p w14:paraId="7AAB9937" w14:textId="77777777" w:rsidR="001A629C" w:rsidRDefault="00000000">
      <w:pPr>
        <w:spacing w:before="60" w:after="180"/>
      </w:pPr>
      <w:r>
        <w:rPr>
          <w:i/>
          <w:iCs/>
          <w:color w:val="2980B9"/>
          <w:sz w:val="21"/>
          <w:szCs w:val="21"/>
        </w:rPr>
        <w:t>Situating the thesis within existing scholarship — approximately 8–10 pages / 3,200 words</w:t>
      </w:r>
    </w:p>
    <w:p w14:paraId="2421DD86" w14:textId="77777777" w:rsidR="001A629C" w:rsidRDefault="00000000">
      <w:pPr>
        <w:pStyle w:val="Heading2"/>
      </w:pPr>
      <w:r>
        <w:rPr>
          <w:color w:val="2E4A7A"/>
        </w:rPr>
        <w:t>2.1  Commodity Price Forecasting: Classical Approaches</w:t>
      </w:r>
    </w:p>
    <w:p w14:paraId="423C31F9" w14:textId="77777777" w:rsidR="001A629C" w:rsidRDefault="00000000">
      <w:pPr>
        <w:spacing w:before="60" w:after="100"/>
      </w:pPr>
      <w:r>
        <w:rPr>
          <w:color w:val="5A5A5A"/>
        </w:rPr>
        <w:t>Survey the foundational literature on commodity price forecasting: structural economic models (supply-demand fundamentals), time-series econometrics (ARIMA, VAR, GARCH-family models for volatility), and their known limitations in volatile or structurally-breaking markets. Cite key papers on commodity price boom-bust cycles and the challenge of non-stationarity.</w:t>
      </w:r>
    </w:p>
    <w:p w14:paraId="1A560490" w14:textId="77777777" w:rsidR="001A629C" w:rsidRDefault="00000000">
      <w:pPr>
        <w:pStyle w:val="Heading2"/>
      </w:pPr>
      <w:r>
        <w:rPr>
          <w:color w:val="2E4A7A"/>
        </w:rPr>
        <w:t>2.2  Machine Learning &amp; Deep Learning in Commodity Markets</w:t>
      </w:r>
    </w:p>
    <w:p w14:paraId="70F9B963" w14:textId="77777777" w:rsidR="001A629C" w:rsidRDefault="00000000">
      <w:pPr>
        <w:spacing w:before="60" w:after="100"/>
      </w:pPr>
      <w:r>
        <w:rPr>
          <w:color w:val="5A5A5A"/>
        </w:rPr>
        <w:t>Review the wave of ML/DL applications to commodity forecasting — gradient boosting, random forests, LSTM networks, Temporal Convolutional Networks (TCN), and Transformer-based architectures. Discuss the data-hunger problem: these methods excel when historical data is abundant but degrade with short or irregular time series typical of emerging-economy commodity markets. Reference studies comparing model classes on benchmark datasets.</w:t>
      </w:r>
    </w:p>
    <w:p w14:paraId="374A0A32" w14:textId="77777777" w:rsidR="001A629C" w:rsidRDefault="00000000">
      <w:pPr>
        <w:pStyle w:val="Heading2"/>
      </w:pPr>
      <w:r>
        <w:rPr>
          <w:color w:val="2E4A7A"/>
        </w:rPr>
        <w:t>2.3  Transfer Learning: Foundations &amp; Applications</w:t>
      </w:r>
    </w:p>
    <w:p w14:paraId="2E75E420" w14:textId="77777777" w:rsidR="001A629C" w:rsidRDefault="00000000">
      <w:pPr>
        <w:pStyle w:val="Heading3"/>
      </w:pPr>
      <w:r>
        <w:rPr>
          <w:color w:val="2980B9"/>
        </w:rPr>
        <w:t>2.3.1  What is Transfer Learning?</w:t>
      </w:r>
    </w:p>
    <w:p w14:paraId="7BBD6FCC" w14:textId="77777777" w:rsidR="001A629C" w:rsidRDefault="00000000">
      <w:pPr>
        <w:spacing w:before="60" w:after="100"/>
      </w:pPr>
      <w:r>
        <w:rPr>
          <w:color w:val="5A5A5A"/>
        </w:rPr>
        <w:t>Explain the conceptual building blocks: source domain vs. target domain, instance-based vs. feature-based vs. model-based transfer, homogeneous vs. heterogeneous transfer. Ground the definitions in the formalism of Pan &amp; Yang (2010) — the canonical taxonomy paper — and subsequent surveys.</w:t>
      </w:r>
    </w:p>
    <w:p w14:paraId="2D76CC96" w14:textId="77777777" w:rsidR="001A629C" w:rsidRDefault="00000000">
      <w:pPr>
        <w:pStyle w:val="Heading3"/>
      </w:pPr>
      <w:r>
        <w:rPr>
          <w:color w:val="2980B9"/>
        </w:rPr>
        <w:t>2.3.2  Transfer Learning in Finance</w:t>
      </w:r>
    </w:p>
    <w:p w14:paraId="41936A7D" w14:textId="77777777" w:rsidR="001A629C" w:rsidRDefault="00000000">
      <w:pPr>
        <w:spacing w:before="60" w:after="100"/>
      </w:pPr>
      <w:r>
        <w:rPr>
          <w:color w:val="5A5A5A"/>
        </w:rPr>
        <w:t xml:space="preserve">Cover the growing body of work applying transfer learning to financial time series: cross-asset volatility prediction, credit risk scoring across markets, equity return prediction across exchanges. Critically discuss domain shift: the statistical properties of financial time series (fat tails, regime changes, autocorrelation structure) make naïve transfer risky. Reference </w:t>
      </w:r>
      <w:proofErr w:type="spellStart"/>
      <w:r>
        <w:rPr>
          <w:color w:val="5A5A5A"/>
        </w:rPr>
        <w:t>Mashetty</w:t>
      </w:r>
      <w:proofErr w:type="spellEnd"/>
      <w:r>
        <w:rPr>
          <w:color w:val="5A5A5A"/>
        </w:rPr>
        <w:t xml:space="preserve"> et al. (2025) as the most direct predecessor.</w:t>
      </w:r>
    </w:p>
    <w:p w14:paraId="4F6908A3" w14:textId="77777777" w:rsidR="001A629C" w:rsidRDefault="00000000">
      <w:pPr>
        <w:pStyle w:val="Heading3"/>
      </w:pPr>
      <w:r>
        <w:rPr>
          <w:color w:val="2980B9"/>
        </w:rPr>
        <w:t>2.3.3  Domain Adaptation Techniques</w:t>
      </w:r>
    </w:p>
    <w:p w14:paraId="0B7D3D25" w14:textId="77777777" w:rsidR="001A629C" w:rsidRDefault="00000000">
      <w:pPr>
        <w:spacing w:before="60" w:after="100"/>
      </w:pPr>
      <w:r>
        <w:rPr>
          <w:color w:val="5A5A5A"/>
        </w:rPr>
        <w:t>Explain the two main strategies used in the thesis methodology chapter: (1) Maximum Mean Discrepancy (MMD) for distribution alignment in a Reproducing Kernel Hilbert Space; (2) Domain-Adversarial Neural Networks (DANN). Discuss fine-tuning strategies — full, partial, and layer-freezing — and their trade-offs regarding catastrophic forgetting.</w:t>
      </w:r>
    </w:p>
    <w:p w14:paraId="5E9F6571" w14:textId="77777777" w:rsidR="001A629C" w:rsidRDefault="00000000">
      <w:pPr>
        <w:pStyle w:val="Heading2"/>
      </w:pPr>
      <w:r>
        <w:rPr>
          <w:color w:val="2E4A7A"/>
        </w:rPr>
        <w:t>2.4  Cross-Market Commodity Dynamics</w:t>
      </w:r>
    </w:p>
    <w:p w14:paraId="24039850" w14:textId="77777777" w:rsidR="001A629C" w:rsidRDefault="00000000">
      <w:pPr>
        <w:spacing w:before="60" w:after="100"/>
      </w:pPr>
      <w:r>
        <w:rPr>
          <w:color w:val="5A5A5A"/>
        </w:rPr>
        <w:t>Review the literature on how commodity prices co-move across countries and markets — price transmission, cointegration, and the global commodity price factor. Discuss how the law of one price applies (or fails to apply) for commodities traded on global versus domestic exchanges. Identify what country-specific factors (exchange-rate risk, storage infrastructure, political risk, local demand shocks) may drive wedges between global and local commodity returns, justifying the need for fine-tuning.</w:t>
      </w:r>
    </w:p>
    <w:p w14:paraId="38F6FCFF" w14:textId="77777777" w:rsidR="001A629C" w:rsidRDefault="00000000">
      <w:pPr>
        <w:pStyle w:val="Heading2"/>
      </w:pPr>
      <w:r>
        <w:rPr>
          <w:color w:val="2E4A7A"/>
        </w:rPr>
        <w:t>2.5  Data Scarcity in Emerging Economies</w:t>
      </w:r>
    </w:p>
    <w:p w14:paraId="7654847F" w14:textId="77777777" w:rsidR="001A629C" w:rsidRDefault="00000000">
      <w:pPr>
        <w:spacing w:before="60" w:after="100"/>
      </w:pPr>
      <w:r>
        <w:rPr>
          <w:color w:val="5A5A5A"/>
        </w:rPr>
        <w:t>Synthesise the evidence on data availability constraints: short time series, missing observations, reporting lags, currency denomination differences. Discuss how previous studies have handled these constraints and why simple data imputation or synthetic oversampling is an inferior solution compared to cross-market transfer learning.</w:t>
      </w:r>
    </w:p>
    <w:p w14:paraId="236BEF61" w14:textId="77777777" w:rsidR="001A629C" w:rsidRDefault="00000000">
      <w:pPr>
        <w:pStyle w:val="Heading2"/>
      </w:pPr>
      <w:r>
        <w:rPr>
          <w:color w:val="2E4A7A"/>
        </w:rPr>
        <w:t>2.6  Research Gap &amp; Positioning</w:t>
      </w:r>
    </w:p>
    <w:p w14:paraId="7ECB1DCC" w14:textId="77777777" w:rsidR="001A629C" w:rsidRDefault="00000000">
      <w:pPr>
        <w:spacing w:before="60" w:after="100"/>
      </w:pPr>
      <w:r>
        <w:rPr>
          <w:color w:val="5A5A5A"/>
        </w:rPr>
        <w:lastRenderedPageBreak/>
        <w:t>Provide a concise synthesis table (or narrative summary) showing where the existing literature leaves a gap that this thesis fills — the intersection of transfer learning, commodity markets, and data-sparse emerging economies.</w:t>
      </w:r>
    </w:p>
    <w:p w14:paraId="514318D7" w14:textId="77777777" w:rsidR="001A629C" w:rsidRDefault="001A629C">
      <w:pPr>
        <w:spacing w:before="120" w:after="120"/>
      </w:pPr>
    </w:p>
    <w:p w14:paraId="161CC228" w14:textId="77777777" w:rsidR="001A629C" w:rsidRDefault="00000000">
      <w:r>
        <w:br w:type="page"/>
      </w:r>
    </w:p>
    <w:p w14:paraId="68512809" w14:textId="77777777" w:rsidR="001A629C" w:rsidRDefault="00000000">
      <w:pPr>
        <w:pStyle w:val="Heading1"/>
        <w:pBdr>
          <w:bottom w:val="single" w:sz="6" w:space="2" w:color="D6E4F0"/>
        </w:pBdr>
        <w:spacing w:after="80"/>
      </w:pPr>
      <w:r>
        <w:rPr>
          <w:color w:val="2980B9"/>
        </w:rPr>
        <w:lastRenderedPageBreak/>
        <w:t xml:space="preserve">Chapter 3  </w:t>
      </w:r>
      <w:r>
        <w:rPr>
          <w:color w:val="1F3864"/>
        </w:rPr>
        <w:t>Commodity Markets &amp; Data</w:t>
      </w:r>
    </w:p>
    <w:p w14:paraId="0C79C142" w14:textId="77777777" w:rsidR="001A629C" w:rsidRDefault="00000000">
      <w:pPr>
        <w:spacing w:before="60" w:after="180"/>
      </w:pPr>
      <w:r>
        <w:rPr>
          <w:i/>
          <w:iCs/>
          <w:color w:val="2980B9"/>
          <w:sz w:val="21"/>
          <w:szCs w:val="21"/>
        </w:rPr>
        <w:t>Describing the empirical landscape — approximately 6–7 pages / 2,200 words</w:t>
      </w:r>
    </w:p>
    <w:p w14:paraId="35F7A83D" w14:textId="77777777" w:rsidR="001A629C" w:rsidRDefault="00000000">
      <w:pPr>
        <w:pStyle w:val="Heading2"/>
      </w:pPr>
      <w:r>
        <w:rPr>
          <w:color w:val="2E4A7A"/>
        </w:rPr>
        <w:t>3.1  Commodity Classification &amp; Selection</w:t>
      </w:r>
    </w:p>
    <w:p w14:paraId="78FE0CE4" w14:textId="77777777" w:rsidR="001A629C" w:rsidRDefault="00000000">
      <w:pPr>
        <w:spacing w:before="60" w:after="100"/>
      </w:pPr>
      <w:r>
        <w:rPr>
          <w:color w:val="5A5A5A"/>
        </w:rPr>
        <w:t>Justify the choice of commodity classes examined. A representative set might include: (</w:t>
      </w:r>
      <w:proofErr w:type="spellStart"/>
      <w:r>
        <w:rPr>
          <w:color w:val="5A5A5A"/>
        </w:rPr>
        <w:t>i</w:t>
      </w:r>
      <w:proofErr w:type="spellEnd"/>
      <w:r>
        <w:rPr>
          <w:color w:val="5A5A5A"/>
        </w:rPr>
        <w:t>) energy — Brent crude oil (global benchmark) and WTI; (ii) base metals — copper and aluminium; (iii) agricultural — soybeans or wheat. Explain that these commodities are chosen because they have both a deep, liquid global benchmark market (source domain) and meaningful relevance to one or more data-sparse target economies.</w:t>
      </w:r>
    </w:p>
    <w:p w14:paraId="454173C6" w14:textId="77777777" w:rsidR="001A629C" w:rsidRDefault="00000000">
      <w:pPr>
        <w:pStyle w:val="Heading2"/>
      </w:pPr>
      <w:r>
        <w:rPr>
          <w:color w:val="2E4A7A"/>
        </w:rPr>
        <w:t>3.2  Source Market: Global Benchmark Exchanges</w:t>
      </w:r>
    </w:p>
    <w:p w14:paraId="7B0350F6" w14:textId="77777777" w:rsidR="001A629C" w:rsidRDefault="00000000">
      <w:pPr>
        <w:spacing w:before="60" w:after="100"/>
      </w:pPr>
      <w:r>
        <w:rPr>
          <w:color w:val="5A5A5A"/>
        </w:rPr>
        <w:t>Describe the source data: daily futures/spot prices from CME Group, ICE, or LME for the chosen commodities. Cover the sample period (e.g., January 2000 – December 2023), data frequency, return construction (log-returns), and the rich set of covariates available: open interest, volume, implied volatility (where available), macroeconomic releases (CPI, PMI, inventory reports), and USD index.</w:t>
      </w:r>
    </w:p>
    <w:p w14:paraId="4945EBFF" w14:textId="77777777" w:rsidR="001A629C" w:rsidRDefault="00000000">
      <w:pPr>
        <w:pStyle w:val="Heading2"/>
      </w:pPr>
      <w:r>
        <w:rPr>
          <w:color w:val="2E4A7A"/>
        </w:rPr>
        <w:t>3.3  Target Markets: Data-Sparse Economies</w:t>
      </w:r>
    </w:p>
    <w:p w14:paraId="1A7B6E94" w14:textId="77777777" w:rsidR="001A629C" w:rsidRDefault="00000000">
      <w:pPr>
        <w:spacing w:before="60" w:after="100"/>
      </w:pPr>
      <w:r>
        <w:rPr>
          <w:color w:val="5A5A5A"/>
        </w:rPr>
        <w:t>For each target country (suggest 3–4 countries selected to represent different commodity dependence types — e.g., a major oil exporter, a copper exporter, an agricultural exporter), document: (a) the local commodity price or return series used, (b) its length and any gaps, (c) country-specific covariates available (exchange rate, inflation, political risk index, local stock market index), and (d) any caveats about data quality. A summary statistics table for each series is standard here.</w:t>
      </w:r>
    </w:p>
    <w:p w14:paraId="0C4DEE8C" w14:textId="77777777" w:rsidR="001A629C" w:rsidRDefault="00000000">
      <w:pPr>
        <w:pStyle w:val="Heading2"/>
      </w:pPr>
      <w:r>
        <w:rPr>
          <w:color w:val="2E4A7A"/>
        </w:rPr>
        <w:t>3.4  Feature Engineering</w:t>
      </w:r>
    </w:p>
    <w:p w14:paraId="24C52EFA" w14:textId="77777777" w:rsidR="001A629C" w:rsidRDefault="00000000">
      <w:pPr>
        <w:spacing w:before="60" w:after="100"/>
      </w:pPr>
      <w:r>
        <w:rPr>
          <w:color w:val="5A5A5A"/>
        </w:rPr>
        <w:t>Detail the technical indicators and macroeconomic features constructed for the model: rolling means (MA5, MA20), relative strength index (RSI), Bollinger bands, commodity-specific fundamentals (e.g., OPEC production data for oil, LME warehouse stocks for copper), and sentiment proxies (e.g., Baker et al. economic policy uncertainty index). Explain how features are normalised and how look-ahead bias is avoided during construction.</w:t>
      </w:r>
    </w:p>
    <w:p w14:paraId="3BA7F68D" w14:textId="77777777" w:rsidR="001A629C" w:rsidRDefault="00000000">
      <w:pPr>
        <w:pStyle w:val="Heading2"/>
      </w:pPr>
      <w:r>
        <w:rPr>
          <w:color w:val="2E4A7A"/>
        </w:rPr>
        <w:t>3.5  Descriptive Statistics &amp; Stylised Facts</w:t>
      </w:r>
    </w:p>
    <w:p w14:paraId="35AA4EDF" w14:textId="77777777" w:rsidR="001A629C" w:rsidRDefault="00000000">
      <w:pPr>
        <w:spacing w:before="60" w:after="100"/>
      </w:pPr>
      <w:r>
        <w:rPr>
          <w:color w:val="5A5A5A"/>
        </w:rPr>
        <w:t>Present summary statistics (mean return, standard deviation, skewness, kurtosis, Sharpe ratio) for each source and target series. Highlight distributional differences — heavier tails, higher volatility, and more pronounced structural breaks in target country series — to motivate domain adaptation. Include a correlation matrix or visualisation of co-movement between source and target returns.</w:t>
      </w:r>
    </w:p>
    <w:p w14:paraId="61A09E12" w14:textId="77777777" w:rsidR="001A629C" w:rsidRDefault="00000000">
      <w:pPr>
        <w:pStyle w:val="Heading2"/>
      </w:pPr>
      <w:r>
        <w:rPr>
          <w:color w:val="2E4A7A"/>
        </w:rPr>
        <w:t>3.6  Train/Validation/Test Split</w:t>
      </w:r>
    </w:p>
    <w:p w14:paraId="69DD094E" w14:textId="77777777" w:rsidR="001A629C" w:rsidRDefault="00000000">
      <w:pPr>
        <w:spacing w:before="60" w:after="100"/>
      </w:pPr>
      <w:r>
        <w:rPr>
          <w:color w:val="5A5A5A"/>
        </w:rPr>
        <w:t>Describe the temporal split used throughout the empirical analysis. Because financial time series must not be shuffled, employ a rolling or expanding-window scheme. Define the pre-training window (source data), the adaptation window, and the evaluation window (target out-of-sample). Explain why this mimics real-world deployment.</w:t>
      </w:r>
    </w:p>
    <w:p w14:paraId="5FBADD56" w14:textId="77777777" w:rsidR="001A629C" w:rsidRDefault="001A629C">
      <w:pPr>
        <w:spacing w:before="120" w:after="120"/>
      </w:pPr>
    </w:p>
    <w:p w14:paraId="1ECA0A94" w14:textId="77777777" w:rsidR="001A629C" w:rsidRDefault="00000000">
      <w:r>
        <w:br w:type="page"/>
      </w:r>
    </w:p>
    <w:p w14:paraId="48049D8B" w14:textId="77777777" w:rsidR="001A629C" w:rsidRDefault="00000000">
      <w:pPr>
        <w:pStyle w:val="Heading1"/>
        <w:pBdr>
          <w:bottom w:val="single" w:sz="6" w:space="2" w:color="D6E4F0"/>
        </w:pBdr>
        <w:spacing w:after="80"/>
      </w:pPr>
      <w:r>
        <w:rPr>
          <w:color w:val="2980B9"/>
        </w:rPr>
        <w:lastRenderedPageBreak/>
        <w:t xml:space="preserve">Chapter 4  </w:t>
      </w:r>
      <w:r>
        <w:rPr>
          <w:color w:val="1F3864"/>
        </w:rPr>
        <w:t>Methodology</w:t>
      </w:r>
    </w:p>
    <w:p w14:paraId="741CA5CD" w14:textId="77777777" w:rsidR="001A629C" w:rsidRDefault="00000000">
      <w:pPr>
        <w:spacing w:before="60" w:after="180"/>
      </w:pPr>
      <w:r>
        <w:rPr>
          <w:i/>
          <w:iCs/>
          <w:color w:val="2980B9"/>
          <w:sz w:val="21"/>
          <w:szCs w:val="21"/>
        </w:rPr>
        <w:t>The transfer learning framework — approximately 8–10 pages / 3,000 words</w:t>
      </w:r>
    </w:p>
    <w:p w14:paraId="0A118E2E" w14:textId="77777777" w:rsidR="001A629C" w:rsidRDefault="00000000">
      <w:pPr>
        <w:pStyle w:val="Heading2"/>
      </w:pPr>
      <w:r>
        <w:rPr>
          <w:color w:val="2E4A7A"/>
        </w:rPr>
        <w:t>4.1  Framework Overview</w:t>
      </w:r>
    </w:p>
    <w:p w14:paraId="5E8832FB" w14:textId="77777777" w:rsidR="001A629C" w:rsidRDefault="00000000">
      <w:pPr>
        <w:spacing w:before="60" w:after="100"/>
      </w:pPr>
      <w:r>
        <w:rPr>
          <w:color w:val="5A5A5A"/>
        </w:rPr>
        <w:t xml:space="preserve">Present a conceptual diagram of the three-stage pipeline: (A) Source Pre-Training → (B) Domain Adaptation → (C) Target Fine-Tuning &amp; Prediction. Explain how the stages connect and what information flows between them. This parallels the architecture in </w:t>
      </w:r>
      <w:proofErr w:type="spellStart"/>
      <w:r>
        <w:rPr>
          <w:color w:val="5A5A5A"/>
        </w:rPr>
        <w:t>Mashetty</w:t>
      </w:r>
      <w:proofErr w:type="spellEnd"/>
      <w:r>
        <w:rPr>
          <w:color w:val="5A5A5A"/>
        </w:rPr>
        <w:t xml:space="preserve"> et al. (2025) but is adapted for commodity return forecasting.</w:t>
      </w:r>
    </w:p>
    <w:p w14:paraId="2A18B0D6" w14:textId="77777777" w:rsidR="001A629C" w:rsidRDefault="00000000">
      <w:pPr>
        <w:pStyle w:val="Heading2"/>
      </w:pPr>
      <w:r>
        <w:rPr>
          <w:color w:val="2E4A7A"/>
        </w:rPr>
        <w:t>4.2  Stage A: Source Model Pre-Training</w:t>
      </w:r>
    </w:p>
    <w:p w14:paraId="1044B991" w14:textId="77777777" w:rsidR="001A629C" w:rsidRDefault="00000000">
      <w:pPr>
        <w:pStyle w:val="Heading3"/>
      </w:pPr>
      <w:r>
        <w:rPr>
          <w:color w:val="2980B9"/>
        </w:rPr>
        <w:t>4.2.1  Model Architecture</w:t>
      </w:r>
    </w:p>
    <w:p w14:paraId="378FAF84" w14:textId="77777777" w:rsidR="001A629C" w:rsidRDefault="00000000">
      <w:pPr>
        <w:spacing w:before="60" w:after="100"/>
      </w:pPr>
      <w:r>
        <w:rPr>
          <w:color w:val="5A5A5A"/>
        </w:rPr>
        <w:t>Specify the backbone architecture: a Long Short-Term Memory (LSTM) network or a Temporal Convolutional Network (TCN). Justify the choice based on the temporal structure of commodity return series. Describe the number of layers, hidden units, dropout rates, and input sequence length. State the prediction target: next-day or next-week log-return (regression) or direction (classification).</w:t>
      </w:r>
    </w:p>
    <w:p w14:paraId="1E4D2B81" w14:textId="77777777" w:rsidR="001A629C" w:rsidRDefault="00000000">
      <w:pPr>
        <w:pStyle w:val="Heading3"/>
      </w:pPr>
      <w:r>
        <w:rPr>
          <w:color w:val="2980B9"/>
        </w:rPr>
        <w:t>4.2.2  Training Objective</w:t>
      </w:r>
    </w:p>
    <w:p w14:paraId="118AB175" w14:textId="77777777" w:rsidR="001A629C" w:rsidRDefault="00000000">
      <w:pPr>
        <w:spacing w:before="60" w:after="100"/>
      </w:pPr>
      <w:r>
        <w:rPr>
          <w:color w:val="5A5A5A"/>
        </w:rPr>
        <w:t>Define the source loss function LS formally (MSE for regression; binary cross-entropy for direction). Explain regularisation choices: dropout, early stopping, and time-series cross-validation to avoid data leakage. Discuss how the pre-trained model captures domain-agnostic patterns (seasonality, momentum, mean reversion) transferable across commodity markets.</w:t>
      </w:r>
    </w:p>
    <w:p w14:paraId="10C694D2" w14:textId="77777777" w:rsidR="001A629C" w:rsidRDefault="00000000">
      <w:pPr>
        <w:pStyle w:val="Heading2"/>
      </w:pPr>
      <w:r>
        <w:rPr>
          <w:color w:val="2E4A7A"/>
        </w:rPr>
        <w:t>4.3  Stage B: Domain Adaptation</w:t>
      </w:r>
    </w:p>
    <w:p w14:paraId="2D48026C" w14:textId="77777777" w:rsidR="001A629C" w:rsidRDefault="00000000">
      <w:pPr>
        <w:pStyle w:val="Heading3"/>
      </w:pPr>
      <w:r>
        <w:rPr>
          <w:color w:val="2980B9"/>
        </w:rPr>
        <w:t>4.3.1  Motivation for Distribution Alignment</w:t>
      </w:r>
    </w:p>
    <w:p w14:paraId="3E91C3AC" w14:textId="77777777" w:rsidR="001A629C" w:rsidRDefault="00000000">
      <w:pPr>
        <w:spacing w:before="60" w:after="100"/>
      </w:pPr>
      <w:r>
        <w:rPr>
          <w:color w:val="5A5A5A"/>
        </w:rPr>
        <w:t>Explain why naïve transfer fails: the source (global benchmark) and target (local emerging economy) commodity return distributions differ in mean, variance, skewness, and tail behaviour due to currency risk, political instability, and local supply disruptions. Formally define domain shift and its consequences for out-of-distribution generalisation.</w:t>
      </w:r>
    </w:p>
    <w:p w14:paraId="790C8089" w14:textId="77777777" w:rsidR="001A629C" w:rsidRDefault="00000000">
      <w:pPr>
        <w:pStyle w:val="Heading3"/>
      </w:pPr>
      <w:r>
        <w:rPr>
          <w:color w:val="2980B9"/>
        </w:rPr>
        <w:t>4.3.2  Maximum Mean Discrepancy (MMD)</w:t>
      </w:r>
    </w:p>
    <w:p w14:paraId="6FAC0CEA" w14:textId="77777777" w:rsidR="001A629C" w:rsidRDefault="00000000">
      <w:pPr>
        <w:spacing w:before="60" w:after="100"/>
      </w:pPr>
      <w:r>
        <w:rPr>
          <w:color w:val="5A5A5A"/>
        </w:rPr>
        <w:t>Define MMD in a Reproducing Kernel Hilbert Space (RKHS) with the standard radial-basis-function kernel. Write out the domain adaptation loss LDA formally. Explain the hyperparameter λ that trades off task loss and distribution alignment. Show how gradients through LDA update the shared feature extractor to produce domain-invariant representations.</w:t>
      </w:r>
    </w:p>
    <w:p w14:paraId="367864AB" w14:textId="77777777" w:rsidR="001A629C" w:rsidRDefault="00000000">
      <w:pPr>
        <w:pStyle w:val="Heading3"/>
      </w:pPr>
      <w:r>
        <w:rPr>
          <w:color w:val="2980B9"/>
        </w:rPr>
        <w:t>4.3.3  DANN Variant</w:t>
      </w:r>
    </w:p>
    <w:p w14:paraId="43BAD11B" w14:textId="77777777" w:rsidR="001A629C" w:rsidRDefault="00000000">
      <w:pPr>
        <w:spacing w:before="60" w:after="100"/>
      </w:pPr>
      <w:r>
        <w:rPr>
          <w:color w:val="5A5A5A"/>
        </w:rPr>
        <w:t>Describe the optional Domain-Adversarial Neural Network extension: a domain discriminator trained with a gradient reversal layer. Explain the min-max game and when DANN is preferred over MMD (larger target datasets, more severe distribution shifts).</w:t>
      </w:r>
    </w:p>
    <w:p w14:paraId="70F4E29B" w14:textId="77777777" w:rsidR="001A629C" w:rsidRDefault="00000000">
      <w:pPr>
        <w:pStyle w:val="Heading2"/>
      </w:pPr>
      <w:r>
        <w:rPr>
          <w:color w:val="2E4A7A"/>
        </w:rPr>
        <w:t>4.4  Stage C: Fine-Tuning &amp; Target Prediction</w:t>
      </w:r>
    </w:p>
    <w:p w14:paraId="7DA6406D" w14:textId="77777777" w:rsidR="001A629C" w:rsidRDefault="00000000">
      <w:pPr>
        <w:pStyle w:val="Heading3"/>
      </w:pPr>
      <w:r>
        <w:rPr>
          <w:color w:val="2980B9"/>
        </w:rPr>
        <w:t>4.4.1  Fine-Tuning Strategies</w:t>
      </w:r>
    </w:p>
    <w:p w14:paraId="6E0299FE" w14:textId="77777777" w:rsidR="001A629C" w:rsidRDefault="00000000">
      <w:pPr>
        <w:spacing w:before="60" w:after="100"/>
      </w:pPr>
      <w:r>
        <w:rPr>
          <w:color w:val="5A5A5A"/>
        </w:rPr>
        <w:t>Detail the three strategies evaluated — full fine-tuning, partial fine-tuning (last k layers), and layer-freezing — and the rationale for each. Discuss the catastrophic forgetting risk under full fine-tuning with very small target datasets, and how early stopping mitigates it.</w:t>
      </w:r>
    </w:p>
    <w:p w14:paraId="74DAA3F9" w14:textId="77777777" w:rsidR="001A629C" w:rsidRDefault="00000000">
      <w:pPr>
        <w:pStyle w:val="Heading3"/>
      </w:pPr>
      <w:r>
        <w:rPr>
          <w:color w:val="2980B9"/>
        </w:rPr>
        <w:t>4.4.2  Combined Loss &amp; Optimisation</w:t>
      </w:r>
    </w:p>
    <w:p w14:paraId="02D18DA8" w14:textId="77777777" w:rsidR="001A629C" w:rsidRDefault="00000000">
      <w:pPr>
        <w:spacing w:before="60" w:after="100"/>
      </w:pPr>
      <w:r>
        <w:rPr>
          <w:color w:val="5A5A5A"/>
        </w:rPr>
        <w:lastRenderedPageBreak/>
        <w:t xml:space="preserve">Write out the total loss </w:t>
      </w:r>
      <w:proofErr w:type="spellStart"/>
      <w:r>
        <w:rPr>
          <w:color w:val="5A5A5A"/>
        </w:rPr>
        <w:t>LTotal</w:t>
      </w:r>
      <w:proofErr w:type="spellEnd"/>
      <w:r>
        <w:rPr>
          <w:color w:val="5A5A5A"/>
        </w:rPr>
        <w:t xml:space="preserve"> = LT + λ LDA and the gradient descent update rule with learning rate η. Specify the optimiser (Adam), batch size, and any learning rate schedule. Note that η is typically set to a lower value during fine-tuning than during pre-training.</w:t>
      </w:r>
    </w:p>
    <w:p w14:paraId="3C3425CC" w14:textId="77777777" w:rsidR="001A629C" w:rsidRDefault="00000000">
      <w:pPr>
        <w:pStyle w:val="Heading2"/>
      </w:pPr>
      <w:r>
        <w:rPr>
          <w:color w:val="2E4A7A"/>
        </w:rPr>
        <w:t>4.5  Baseline Models</w:t>
      </w:r>
    </w:p>
    <w:p w14:paraId="379ACCB1" w14:textId="77777777" w:rsidR="001A629C" w:rsidRDefault="00000000">
      <w:pPr>
        <w:spacing w:before="60" w:after="100"/>
      </w:pPr>
      <w:r>
        <w:rPr>
          <w:color w:val="5A5A5A"/>
        </w:rPr>
        <w:t>To benchmark the proposed framework, the following baselines are included:</w:t>
      </w:r>
    </w:p>
    <w:p w14:paraId="48AB7B04" w14:textId="77777777" w:rsidR="001A629C" w:rsidRDefault="00000000">
      <w:pPr>
        <w:pStyle w:val="ListParagraph"/>
        <w:numPr>
          <w:ilvl w:val="0"/>
          <w:numId w:val="2"/>
        </w:numPr>
        <w:spacing w:before="40" w:after="60"/>
      </w:pPr>
      <w:r>
        <w:rPr>
          <w:color w:val="5A5A5A"/>
        </w:rPr>
        <w:t>ARIMA(</w:t>
      </w:r>
      <w:proofErr w:type="spellStart"/>
      <w:r>
        <w:rPr>
          <w:color w:val="5A5A5A"/>
        </w:rPr>
        <w:t>p,d,q</w:t>
      </w:r>
      <w:proofErr w:type="spellEnd"/>
      <w:r>
        <w:rPr>
          <w:color w:val="5A5A5A"/>
        </w:rPr>
        <w:t>) with GARCH(1,1) — classical econometric benchmark.</w:t>
      </w:r>
    </w:p>
    <w:p w14:paraId="759B24B0" w14:textId="77777777" w:rsidR="001A629C" w:rsidRDefault="00000000">
      <w:pPr>
        <w:pStyle w:val="ListParagraph"/>
        <w:numPr>
          <w:ilvl w:val="0"/>
          <w:numId w:val="2"/>
        </w:numPr>
        <w:spacing w:before="40" w:after="60"/>
      </w:pPr>
      <w:r>
        <w:rPr>
          <w:color w:val="5A5A5A"/>
        </w:rPr>
        <w:t>Random Forest trained only on target data — traditional ML baseline.</w:t>
      </w:r>
    </w:p>
    <w:p w14:paraId="5BDB64C7" w14:textId="77777777" w:rsidR="001A629C" w:rsidRDefault="00000000">
      <w:pPr>
        <w:pStyle w:val="ListParagraph"/>
        <w:numPr>
          <w:ilvl w:val="0"/>
          <w:numId w:val="2"/>
        </w:numPr>
        <w:spacing w:before="40" w:after="60"/>
      </w:pPr>
      <w:r>
        <w:rPr>
          <w:color w:val="5A5A5A"/>
        </w:rPr>
        <w:t>LSTM trained from scratch only on target data — deep learning baseline without transfer.</w:t>
      </w:r>
    </w:p>
    <w:p w14:paraId="0AB6156A" w14:textId="77777777" w:rsidR="001A629C" w:rsidRDefault="00000000">
      <w:pPr>
        <w:pStyle w:val="ListParagraph"/>
        <w:numPr>
          <w:ilvl w:val="0"/>
          <w:numId w:val="2"/>
        </w:numPr>
        <w:spacing w:before="40" w:after="60"/>
      </w:pPr>
      <w:r>
        <w:rPr>
          <w:color w:val="5A5A5A"/>
        </w:rPr>
        <w:t>Naïve transfer: source model applied directly to target without adaptation.</w:t>
      </w:r>
    </w:p>
    <w:p w14:paraId="0660454C" w14:textId="77777777" w:rsidR="001A629C" w:rsidRDefault="00000000">
      <w:pPr>
        <w:spacing w:before="60" w:after="100"/>
      </w:pPr>
      <w:r>
        <w:rPr>
          <w:color w:val="5A5A5A"/>
        </w:rPr>
        <w:t xml:space="preserve">This mirrors the comparison structure of </w:t>
      </w:r>
      <w:proofErr w:type="spellStart"/>
      <w:r>
        <w:rPr>
          <w:color w:val="5A5A5A"/>
        </w:rPr>
        <w:t>Mashetty</w:t>
      </w:r>
      <w:proofErr w:type="spellEnd"/>
      <w:r>
        <w:rPr>
          <w:color w:val="5A5A5A"/>
        </w:rPr>
        <w:t xml:space="preserve"> et al. (2025) and situates the contribution clearly.</w:t>
      </w:r>
    </w:p>
    <w:p w14:paraId="364F3A85" w14:textId="77777777" w:rsidR="001A629C" w:rsidRDefault="00000000">
      <w:pPr>
        <w:pStyle w:val="Heading2"/>
      </w:pPr>
      <w:r>
        <w:rPr>
          <w:color w:val="2E4A7A"/>
        </w:rPr>
        <w:t>4.6  Evaluation Metrics</w:t>
      </w:r>
    </w:p>
    <w:p w14:paraId="1884C5DA" w14:textId="77777777" w:rsidR="001A629C" w:rsidRDefault="00000000">
      <w:pPr>
        <w:spacing w:before="60" w:after="100"/>
      </w:pPr>
      <w:r>
        <w:rPr>
          <w:color w:val="5A5A5A"/>
        </w:rPr>
        <w:t>Define the three primary metrics: MAE (mean absolute error), RMSE (root mean squared error), and Directional Accuracy (DA). Discuss why DA is particularly relevant for commodity trading practitioners. Where appropriate, also report the Mean Absolute Percentage Error (MAPE) and a simple Sharpe ratio for a directional trading signal derived from model forecasts, to link model accuracy to economic value.</w:t>
      </w:r>
    </w:p>
    <w:p w14:paraId="38A70540" w14:textId="77777777" w:rsidR="001A629C" w:rsidRDefault="00000000">
      <w:pPr>
        <w:pStyle w:val="Heading2"/>
      </w:pPr>
      <w:r>
        <w:rPr>
          <w:color w:val="2E4A7A"/>
        </w:rPr>
        <w:t>4.7  Hyperparameter Selection &amp; Reproducibility</w:t>
      </w:r>
    </w:p>
    <w:p w14:paraId="7A8145E8" w14:textId="77777777" w:rsidR="001A629C" w:rsidRDefault="00000000">
      <w:pPr>
        <w:spacing w:before="60" w:after="100"/>
      </w:pPr>
      <w:r>
        <w:rPr>
          <w:color w:val="5A5A5A"/>
        </w:rPr>
        <w:t>Describe the grid-search or random-search procedure for hyperparameters (λ, number of layers, dropout rate, learning rate). Explain that all hyperparameter choices are made on the validation set only, never the test set. Commit to reporting all code, random seeds, and data sources in the appendix to ensure reproducibility.</w:t>
      </w:r>
    </w:p>
    <w:p w14:paraId="4C63D76E" w14:textId="77777777" w:rsidR="001A629C" w:rsidRDefault="001A629C">
      <w:pPr>
        <w:spacing w:before="120" w:after="120"/>
      </w:pPr>
    </w:p>
    <w:p w14:paraId="2D4C846F" w14:textId="77777777" w:rsidR="001A629C" w:rsidRDefault="00000000">
      <w:r>
        <w:br w:type="page"/>
      </w:r>
    </w:p>
    <w:p w14:paraId="6B815842" w14:textId="77777777" w:rsidR="001A629C" w:rsidRDefault="00000000">
      <w:pPr>
        <w:pStyle w:val="Heading1"/>
        <w:pBdr>
          <w:bottom w:val="single" w:sz="6" w:space="2" w:color="D6E4F0"/>
        </w:pBdr>
        <w:spacing w:after="80"/>
      </w:pPr>
      <w:r>
        <w:rPr>
          <w:color w:val="2980B9"/>
        </w:rPr>
        <w:lastRenderedPageBreak/>
        <w:t xml:space="preserve">Chapter 5  </w:t>
      </w:r>
      <w:r>
        <w:rPr>
          <w:color w:val="1F3864"/>
        </w:rPr>
        <w:t>Empirical Results</w:t>
      </w:r>
    </w:p>
    <w:p w14:paraId="5C23D62F" w14:textId="77777777" w:rsidR="001A629C" w:rsidRDefault="00000000">
      <w:pPr>
        <w:spacing w:before="60" w:after="180"/>
      </w:pPr>
      <w:r>
        <w:rPr>
          <w:i/>
          <w:iCs/>
          <w:color w:val="2980B9"/>
          <w:sz w:val="21"/>
          <w:szCs w:val="21"/>
        </w:rPr>
        <w:t>What the models produce — approximately 8–10 pages / 3,000 words</w:t>
      </w:r>
    </w:p>
    <w:p w14:paraId="65DCACCD" w14:textId="77777777" w:rsidR="001A629C" w:rsidRDefault="00000000">
      <w:pPr>
        <w:pStyle w:val="Heading2"/>
      </w:pPr>
      <w:r>
        <w:rPr>
          <w:color w:val="2E4A7A"/>
        </w:rPr>
        <w:t>5.1  Main Results: Prediction Performance</w:t>
      </w:r>
    </w:p>
    <w:p w14:paraId="5DDE2B9B" w14:textId="77777777" w:rsidR="001A629C" w:rsidRDefault="00000000">
      <w:pPr>
        <w:spacing w:before="60" w:after="100"/>
      </w:pPr>
      <w:r>
        <w:rPr>
          <w:color w:val="5A5A5A"/>
        </w:rPr>
        <w:t>Present the core results table comparing MAE, RMSE, and DA across all models (baselines and proposed framework) for each target country and commodity. Organise the table by commodity class and country. Discuss which model performs best overall and whether the ranking is consistent across commodities and countries.</w:t>
      </w:r>
    </w:p>
    <w:p w14:paraId="2F3BD22B" w14:textId="77777777" w:rsidR="001A629C" w:rsidRDefault="00000000">
      <w:pPr>
        <w:spacing w:before="60" w:after="100"/>
      </w:pPr>
      <w:r>
        <w:rPr>
          <w:color w:val="5A5A5A"/>
        </w:rPr>
        <w:t>Key finding to establish: the proposed transfer learning framework with domain adaptation should outperform both the naïve transfer model and the target-only deep learning baseline — quantifying the benefit of each pipeline stage.</w:t>
      </w:r>
    </w:p>
    <w:p w14:paraId="24FA94F0" w14:textId="77777777" w:rsidR="001A629C" w:rsidRDefault="00000000">
      <w:pPr>
        <w:pStyle w:val="Heading2"/>
      </w:pPr>
      <w:r>
        <w:rPr>
          <w:color w:val="2E4A7A"/>
        </w:rPr>
        <w:t>5.2  Ablation Study: Decomposing Transfer Learning Gains</w:t>
      </w:r>
    </w:p>
    <w:p w14:paraId="3C308272" w14:textId="77777777" w:rsidR="001A629C" w:rsidRDefault="00000000">
      <w:pPr>
        <w:spacing w:before="60" w:after="100"/>
      </w:pPr>
      <w:r>
        <w:rPr>
          <w:color w:val="5A5A5A"/>
        </w:rPr>
        <w:t>Report an ablation study that isolates the contribution of each stage. Compare: (a) source pre-training only (naïve transfer), (b) source pre-training + MMD adaptation, (c) full pipeline with fine-tuning. This decomposition directly answers the research question about whether it is domain adaptation, fine-tuning, or both that drive the gains. Present results as a table and discuss the magnitude of incremental improvements.</w:t>
      </w:r>
    </w:p>
    <w:p w14:paraId="2C091F4A" w14:textId="77777777" w:rsidR="001A629C" w:rsidRDefault="00000000">
      <w:pPr>
        <w:pStyle w:val="Heading2"/>
      </w:pPr>
      <w:r>
        <w:rPr>
          <w:color w:val="2E4A7A"/>
        </w:rPr>
        <w:t>5.3  Cross-Country Variation: Does Transfer Learning Help More Where Data Is Scarcer?</w:t>
      </w:r>
    </w:p>
    <w:p w14:paraId="7502257C" w14:textId="77777777" w:rsidR="001A629C" w:rsidRDefault="00000000">
      <w:pPr>
        <w:spacing w:before="60" w:after="100"/>
      </w:pPr>
      <w:r>
        <w:rPr>
          <w:color w:val="5A5A5A"/>
        </w:rPr>
        <w:t xml:space="preserve">Examine the relationship between target dataset size and relative performance gain of transfer learning over target-only baselines. Hypothesise (and test) that the gains are largest for countries with the shortest time series. This sub-section is a novel contribution beyond </w:t>
      </w:r>
      <w:proofErr w:type="spellStart"/>
      <w:r>
        <w:rPr>
          <w:color w:val="5A5A5A"/>
        </w:rPr>
        <w:t>Mashetty</w:t>
      </w:r>
      <w:proofErr w:type="spellEnd"/>
      <w:r>
        <w:rPr>
          <w:color w:val="5A5A5A"/>
        </w:rPr>
        <w:t xml:space="preserve"> et al. (2025) and directly addresses the "data-sparse" angle of the research question.</w:t>
      </w:r>
    </w:p>
    <w:p w14:paraId="6E64EA73" w14:textId="77777777" w:rsidR="001A629C" w:rsidRDefault="00000000">
      <w:pPr>
        <w:pStyle w:val="Heading2"/>
      </w:pPr>
      <w:r>
        <w:rPr>
          <w:color w:val="2E4A7A"/>
        </w:rPr>
        <w:t>5.4  Cross-Commodity Variation</w:t>
      </w:r>
    </w:p>
    <w:p w14:paraId="308326E7" w14:textId="77777777" w:rsidR="001A629C" w:rsidRDefault="00000000">
      <w:pPr>
        <w:spacing w:before="60" w:after="100"/>
      </w:pPr>
      <w:r>
        <w:rPr>
          <w:color w:val="5A5A5A"/>
        </w:rPr>
        <w:t>Analyse whether the framework performs differently across commodity classes. Energy commodities may show stronger global co-movement (making source features more directly transferable), while agricultural commodities may be more affected by localised weather and policy shocks (requiring heavier reliance on fine-tuning). Discuss these patterns and their economic interpretation.</w:t>
      </w:r>
    </w:p>
    <w:p w14:paraId="32783FC4" w14:textId="77777777" w:rsidR="001A629C" w:rsidRDefault="00000000">
      <w:pPr>
        <w:pStyle w:val="Heading2"/>
      </w:pPr>
      <w:r>
        <w:rPr>
          <w:color w:val="2E4A7A"/>
        </w:rPr>
        <w:t>5.5  Robustness Checks</w:t>
      </w:r>
    </w:p>
    <w:p w14:paraId="4A32FF7F" w14:textId="77777777" w:rsidR="001A629C" w:rsidRDefault="00000000">
      <w:pPr>
        <w:pStyle w:val="Heading3"/>
      </w:pPr>
      <w:r>
        <w:rPr>
          <w:color w:val="2980B9"/>
        </w:rPr>
        <w:t>5.5.1  Alternative Architectures</w:t>
      </w:r>
    </w:p>
    <w:p w14:paraId="218074F1" w14:textId="77777777" w:rsidR="001A629C" w:rsidRDefault="00000000">
      <w:pPr>
        <w:spacing w:before="60" w:after="100"/>
      </w:pPr>
      <w:r>
        <w:rPr>
          <w:color w:val="5A5A5A"/>
        </w:rPr>
        <w:t>Re-run the main analysis with a TCN backbone instead of LSTM to verify that results are not architecture-specific.</w:t>
      </w:r>
    </w:p>
    <w:p w14:paraId="5813182B" w14:textId="77777777" w:rsidR="001A629C" w:rsidRDefault="00000000">
      <w:pPr>
        <w:pStyle w:val="Heading3"/>
      </w:pPr>
      <w:r>
        <w:rPr>
          <w:color w:val="2980B9"/>
        </w:rPr>
        <w:t>5.5.2  Alternative Source Markets</w:t>
      </w:r>
    </w:p>
    <w:p w14:paraId="6F93028F" w14:textId="77777777" w:rsidR="001A629C" w:rsidRDefault="00000000">
      <w:pPr>
        <w:spacing w:before="60" w:after="100"/>
      </w:pPr>
      <w:r>
        <w:rPr>
          <w:color w:val="5A5A5A"/>
        </w:rPr>
        <w:t>Test whether using European (LME, ICE) rather than U.S. (CME) benchmark data as the source domain changes the results meaningfully.</w:t>
      </w:r>
    </w:p>
    <w:p w14:paraId="75D61917" w14:textId="77777777" w:rsidR="001A629C" w:rsidRDefault="00000000">
      <w:pPr>
        <w:pStyle w:val="Heading3"/>
      </w:pPr>
      <w:r>
        <w:rPr>
          <w:color w:val="2980B9"/>
        </w:rPr>
        <w:t>5.5.3  Sub-sample Stability</w:t>
      </w:r>
    </w:p>
    <w:p w14:paraId="318D6BFC" w14:textId="77777777" w:rsidR="001A629C" w:rsidRDefault="00000000">
      <w:pPr>
        <w:spacing w:before="60" w:after="100"/>
      </w:pPr>
      <w:r>
        <w:rPr>
          <w:color w:val="5A5A5A"/>
        </w:rPr>
        <w:t>Assess whether performance holds across different sub-periods (pre/post COVID-19 commodity super-cycle, Russia-Ukraine conflict shock). This directly tests the claim that the framework is resilient to volatility regime changes.</w:t>
      </w:r>
    </w:p>
    <w:p w14:paraId="19747A4A" w14:textId="77777777" w:rsidR="001A629C" w:rsidRDefault="00000000">
      <w:pPr>
        <w:pStyle w:val="Heading3"/>
      </w:pPr>
      <w:r>
        <w:rPr>
          <w:color w:val="2980B9"/>
        </w:rPr>
        <w:t>5.5.4  DANN vs. MMD</w:t>
      </w:r>
    </w:p>
    <w:p w14:paraId="24843743" w14:textId="77777777" w:rsidR="001A629C" w:rsidRDefault="00000000">
      <w:pPr>
        <w:spacing w:before="60" w:after="100"/>
      </w:pPr>
      <w:r>
        <w:rPr>
          <w:color w:val="5A5A5A"/>
        </w:rPr>
        <w:t>Compare the MMD-based and DANN-based domain adaptation approaches head to head, discussing under what conditions one dominates the other.</w:t>
      </w:r>
    </w:p>
    <w:p w14:paraId="7F48B8AA" w14:textId="77777777" w:rsidR="001A629C" w:rsidRDefault="00000000">
      <w:pPr>
        <w:pStyle w:val="Heading2"/>
      </w:pPr>
      <w:r>
        <w:rPr>
          <w:color w:val="2E4A7A"/>
        </w:rPr>
        <w:lastRenderedPageBreak/>
        <w:t>5.6  Economic Significance: Trading Strategy Simulation</w:t>
      </w:r>
    </w:p>
    <w:p w14:paraId="23E13BDC" w14:textId="77777777" w:rsidR="001A629C" w:rsidRDefault="00000000">
      <w:pPr>
        <w:spacing w:before="60" w:after="100"/>
      </w:pPr>
      <w:r>
        <w:rPr>
          <w:color w:val="5A5A5A"/>
        </w:rPr>
        <w:t>Translate directional accuracy into an economic signal: a simple long/short strategy that follows the model's direction forecast. Compute annualised Sharpe ratios and maximum drawdowns for each model and discuss whether the improvement in DA translates into economically meaningful trading gains after transaction costs.</w:t>
      </w:r>
    </w:p>
    <w:p w14:paraId="12C22231" w14:textId="77777777" w:rsidR="001A629C" w:rsidRDefault="001A629C">
      <w:pPr>
        <w:spacing w:before="120" w:after="120"/>
      </w:pPr>
    </w:p>
    <w:p w14:paraId="3CA67F47" w14:textId="77777777" w:rsidR="001A629C" w:rsidRDefault="00000000">
      <w:r>
        <w:br w:type="page"/>
      </w:r>
    </w:p>
    <w:p w14:paraId="5A6D9996" w14:textId="77777777" w:rsidR="001A629C" w:rsidRDefault="00000000">
      <w:pPr>
        <w:pStyle w:val="Heading1"/>
        <w:pBdr>
          <w:bottom w:val="single" w:sz="6" w:space="2" w:color="D6E4F0"/>
        </w:pBdr>
        <w:spacing w:after="80"/>
      </w:pPr>
      <w:r>
        <w:rPr>
          <w:color w:val="2980B9"/>
        </w:rPr>
        <w:lastRenderedPageBreak/>
        <w:t xml:space="preserve">Chapter 6  </w:t>
      </w:r>
      <w:r>
        <w:rPr>
          <w:color w:val="1F3864"/>
        </w:rPr>
        <w:t>Discussion</w:t>
      </w:r>
    </w:p>
    <w:p w14:paraId="39AA04AE" w14:textId="77777777" w:rsidR="001A629C" w:rsidRDefault="00000000">
      <w:pPr>
        <w:spacing w:before="60" w:after="180"/>
      </w:pPr>
      <w:r>
        <w:rPr>
          <w:i/>
          <w:iCs/>
          <w:color w:val="2980B9"/>
          <w:sz w:val="21"/>
          <w:szCs w:val="21"/>
        </w:rPr>
        <w:t>Interpreting findings and confronting limitations — approximately 5–6 pages / 2,000 words</w:t>
      </w:r>
    </w:p>
    <w:p w14:paraId="4A826459" w14:textId="77777777" w:rsidR="001A629C" w:rsidRDefault="00000000">
      <w:pPr>
        <w:pStyle w:val="Heading2"/>
      </w:pPr>
      <w:r>
        <w:rPr>
          <w:color w:val="2E4A7A"/>
        </w:rPr>
        <w:t>6.1  Interpretation of Core Findings</w:t>
      </w:r>
    </w:p>
    <w:p w14:paraId="07507BB5" w14:textId="77777777" w:rsidR="001A629C" w:rsidRDefault="00000000">
      <w:pPr>
        <w:spacing w:before="60" w:after="100"/>
      </w:pPr>
      <w:r>
        <w:rPr>
          <w:color w:val="5A5A5A"/>
        </w:rPr>
        <w:t>Synthesise the main takeaways: (a) transfer learning generally improves commodity return forecasting in data-sparse markets; (b) domain adaptation adds measurable value over naïve transfer; (c) fine-tuning with even small local datasets provides further gains. Relate these findings back to the mechanisms: what does the MMD loss capture that pure supervised training misses?</w:t>
      </w:r>
    </w:p>
    <w:p w14:paraId="35A68C45" w14:textId="77777777" w:rsidR="001A629C" w:rsidRDefault="00000000">
      <w:pPr>
        <w:pStyle w:val="Heading2"/>
      </w:pPr>
      <w:r>
        <w:rPr>
          <w:color w:val="2E4A7A"/>
        </w:rPr>
        <w:t xml:space="preserve">6.2  Comparison with </w:t>
      </w:r>
      <w:proofErr w:type="spellStart"/>
      <w:r>
        <w:rPr>
          <w:color w:val="2E4A7A"/>
        </w:rPr>
        <w:t>Mashetty</w:t>
      </w:r>
      <w:proofErr w:type="spellEnd"/>
      <w:r>
        <w:rPr>
          <w:color w:val="2E4A7A"/>
        </w:rPr>
        <w:t xml:space="preserve"> et al. (2025) and Related Work</w:t>
      </w:r>
    </w:p>
    <w:p w14:paraId="516011C6" w14:textId="77777777" w:rsidR="001A629C" w:rsidRDefault="00000000">
      <w:pPr>
        <w:spacing w:before="60" w:after="100"/>
      </w:pPr>
      <w:r>
        <w:rPr>
          <w:color w:val="5A5A5A"/>
        </w:rPr>
        <w:t xml:space="preserve">Directly compare the magnitude of improvements observed here against those reported for equity indices by </w:t>
      </w:r>
      <w:proofErr w:type="spellStart"/>
      <w:r>
        <w:rPr>
          <w:color w:val="5A5A5A"/>
        </w:rPr>
        <w:t>Mashetty</w:t>
      </w:r>
      <w:proofErr w:type="spellEnd"/>
      <w:r>
        <w:rPr>
          <w:color w:val="5A5A5A"/>
        </w:rPr>
        <w:t xml:space="preserve"> et al. (2025). Discuss whether commodity markets are "easier" or "harder" for cross-market transfer and why — the role of physical supply-chain fundamentals, seasonal patterns, and the dollar-denominated nature of most commodity benchmarks.</w:t>
      </w:r>
    </w:p>
    <w:p w14:paraId="6D96C98B" w14:textId="77777777" w:rsidR="001A629C" w:rsidRDefault="00000000">
      <w:pPr>
        <w:pStyle w:val="Heading2"/>
      </w:pPr>
      <w:r>
        <w:rPr>
          <w:color w:val="2E4A7A"/>
        </w:rPr>
        <w:t>6.3  Economic and Policy Implications</w:t>
      </w:r>
    </w:p>
    <w:p w14:paraId="4CBED9EC" w14:textId="77777777" w:rsidR="001A629C" w:rsidRDefault="00000000">
      <w:pPr>
        <w:spacing w:before="60" w:after="100"/>
      </w:pPr>
      <w:r>
        <w:rPr>
          <w:color w:val="5A5A5A"/>
        </w:rPr>
        <w:t>Discuss what the findings mean for: (</w:t>
      </w:r>
      <w:proofErr w:type="spellStart"/>
      <w:r>
        <w:rPr>
          <w:color w:val="5A5A5A"/>
        </w:rPr>
        <w:t>i</w:t>
      </w:r>
      <w:proofErr w:type="spellEnd"/>
      <w:r>
        <w:rPr>
          <w:color w:val="5A5A5A"/>
        </w:rPr>
        <w:t>) commodity-dependent economies — better return forecasts support improved fiscal planning and hedging; (ii) international commodity traders and hedge funds seeking alpha in emerging commodity markets; (iii) development finance institutions that need commodity price risk models for lending in data-scarce contexts.</w:t>
      </w:r>
    </w:p>
    <w:p w14:paraId="50BB1976" w14:textId="77777777" w:rsidR="001A629C" w:rsidRDefault="00000000">
      <w:pPr>
        <w:pStyle w:val="Heading2"/>
      </w:pPr>
      <w:r>
        <w:rPr>
          <w:color w:val="2E4A7A"/>
        </w:rPr>
        <w:t>6.4  Limitations</w:t>
      </w:r>
    </w:p>
    <w:p w14:paraId="34CC9ED5" w14:textId="77777777" w:rsidR="001A629C" w:rsidRDefault="00000000">
      <w:pPr>
        <w:spacing w:before="60" w:after="100"/>
      </w:pPr>
      <w:r>
        <w:rPr>
          <w:color w:val="5A5A5A"/>
        </w:rPr>
        <w:t>Be candid: (a) the framework is tested on historical data only — live deployment may face execution frictions; (b) the source pre-training relies on the continued co-movement between global benchmark and local prices, which can break down; (c) the model is agnostic to abrupt structural breaks (e.g., nationalisation of a commodity sector); (d) the results may not generalise to highly illiquid local markets where even the target data quality is questionable.</w:t>
      </w:r>
    </w:p>
    <w:p w14:paraId="28F6187D" w14:textId="77777777" w:rsidR="001A629C" w:rsidRDefault="00000000">
      <w:pPr>
        <w:pStyle w:val="Heading2"/>
      </w:pPr>
      <w:r>
        <w:rPr>
          <w:color w:val="2E4A7A"/>
        </w:rPr>
        <w:t>6.5  Future Research Directions</w:t>
      </w:r>
    </w:p>
    <w:p w14:paraId="0416355A" w14:textId="77777777" w:rsidR="001A629C" w:rsidRDefault="00000000">
      <w:pPr>
        <w:pStyle w:val="ListParagraph"/>
        <w:numPr>
          <w:ilvl w:val="0"/>
          <w:numId w:val="2"/>
        </w:numPr>
        <w:spacing w:before="40" w:after="60"/>
      </w:pPr>
      <w:r>
        <w:rPr>
          <w:color w:val="5A5A5A"/>
        </w:rPr>
        <w:t>Incorporating alternative data sources (satellite imagery of crop yields or oil storage, shipping AIS data) as additional features in the target domain.</w:t>
      </w:r>
    </w:p>
    <w:p w14:paraId="63096B2D" w14:textId="77777777" w:rsidR="001A629C" w:rsidRDefault="00000000">
      <w:pPr>
        <w:pStyle w:val="ListParagraph"/>
        <w:numPr>
          <w:ilvl w:val="0"/>
          <w:numId w:val="2"/>
        </w:numPr>
        <w:spacing w:before="40" w:after="60"/>
      </w:pPr>
      <w:r>
        <w:rPr>
          <w:color w:val="5A5A5A"/>
        </w:rPr>
        <w:t>Extending the framework to multi-commodity and multi-country joint transfer (graph-based domain adaptation).</w:t>
      </w:r>
    </w:p>
    <w:p w14:paraId="7B618100" w14:textId="77777777" w:rsidR="001A629C" w:rsidRDefault="00000000">
      <w:pPr>
        <w:pStyle w:val="ListParagraph"/>
        <w:numPr>
          <w:ilvl w:val="0"/>
          <w:numId w:val="2"/>
        </w:numPr>
        <w:spacing w:before="40" w:after="60"/>
      </w:pPr>
      <w:r>
        <w:rPr>
          <w:color w:val="5A5A5A"/>
        </w:rPr>
        <w:t xml:space="preserve">Investigating Reinforcement Learning combined with Transfer Learning for adaptive commodity trading strategies, following the experimental direction noted in </w:t>
      </w:r>
      <w:proofErr w:type="spellStart"/>
      <w:r>
        <w:rPr>
          <w:color w:val="5A5A5A"/>
        </w:rPr>
        <w:t>Mashetty</w:t>
      </w:r>
      <w:proofErr w:type="spellEnd"/>
      <w:r>
        <w:rPr>
          <w:color w:val="5A5A5A"/>
        </w:rPr>
        <w:t xml:space="preserve"> et al.</w:t>
      </w:r>
    </w:p>
    <w:p w14:paraId="669ECD2A" w14:textId="77777777" w:rsidR="001A629C" w:rsidRDefault="00000000">
      <w:pPr>
        <w:pStyle w:val="ListParagraph"/>
        <w:numPr>
          <w:ilvl w:val="0"/>
          <w:numId w:val="2"/>
        </w:numPr>
        <w:spacing w:before="40" w:after="60"/>
      </w:pPr>
      <w:r>
        <w:rPr>
          <w:color w:val="5A5A5A"/>
        </w:rPr>
        <w:t>Applying the framework to energy transition commodities (lithium, cobalt, rare earths) where historical data is extremely short but demand forecasting is critical.</w:t>
      </w:r>
    </w:p>
    <w:p w14:paraId="7531C14F" w14:textId="77777777" w:rsidR="001A629C" w:rsidRDefault="001A629C">
      <w:pPr>
        <w:spacing w:before="120" w:after="120"/>
      </w:pPr>
    </w:p>
    <w:p w14:paraId="10D1F9F9" w14:textId="77777777" w:rsidR="001A629C" w:rsidRDefault="00000000">
      <w:r>
        <w:br w:type="page"/>
      </w:r>
    </w:p>
    <w:p w14:paraId="626F8C1D" w14:textId="77777777" w:rsidR="001A629C" w:rsidRDefault="00000000">
      <w:pPr>
        <w:pStyle w:val="Heading1"/>
        <w:pBdr>
          <w:bottom w:val="single" w:sz="6" w:space="2" w:color="D6E4F0"/>
        </w:pBdr>
        <w:spacing w:after="80"/>
      </w:pPr>
      <w:r>
        <w:rPr>
          <w:color w:val="2980B9"/>
        </w:rPr>
        <w:lastRenderedPageBreak/>
        <w:t xml:space="preserve">Chapter 7  </w:t>
      </w:r>
      <w:r>
        <w:rPr>
          <w:color w:val="1F3864"/>
        </w:rPr>
        <w:t>Conclusion</w:t>
      </w:r>
    </w:p>
    <w:p w14:paraId="6C5F1963" w14:textId="77777777" w:rsidR="001A629C" w:rsidRDefault="00000000">
      <w:pPr>
        <w:spacing w:before="60" w:after="180"/>
      </w:pPr>
      <w:r>
        <w:rPr>
          <w:i/>
          <w:iCs/>
          <w:color w:val="2980B9"/>
          <w:sz w:val="21"/>
          <w:szCs w:val="21"/>
        </w:rPr>
        <w:t>Closing the argument — approximately 3–4 pages / 1,200 words</w:t>
      </w:r>
    </w:p>
    <w:p w14:paraId="175DD78A" w14:textId="77777777" w:rsidR="001A629C" w:rsidRDefault="00000000">
      <w:pPr>
        <w:pStyle w:val="Heading2"/>
      </w:pPr>
      <w:r>
        <w:rPr>
          <w:color w:val="2E4A7A"/>
        </w:rPr>
        <w:t>7.1  Summary of the Thesis</w:t>
      </w:r>
    </w:p>
    <w:p w14:paraId="06228441" w14:textId="77777777" w:rsidR="001A629C" w:rsidRDefault="00000000">
      <w:pPr>
        <w:spacing w:before="60" w:after="100"/>
      </w:pPr>
      <w:r>
        <w:rPr>
          <w:color w:val="5A5A5A"/>
        </w:rPr>
        <w:t>Concisely restate the research question, the methodology, and the key empirical findings. Avoid introducing new information. This should read as a standalone summary that a reader could use without having read all prior chapters.</w:t>
      </w:r>
    </w:p>
    <w:p w14:paraId="75387126" w14:textId="77777777" w:rsidR="001A629C" w:rsidRDefault="00000000">
      <w:pPr>
        <w:pStyle w:val="Heading2"/>
      </w:pPr>
      <w:r>
        <w:rPr>
          <w:color w:val="2E4A7A"/>
        </w:rPr>
        <w:t>7.2  Answer to the Research Question</w:t>
      </w:r>
    </w:p>
    <w:p w14:paraId="1159C036" w14:textId="77777777" w:rsidR="001A629C" w:rsidRDefault="00000000">
      <w:pPr>
        <w:spacing w:before="60" w:after="100"/>
      </w:pPr>
      <w:r>
        <w:rPr>
          <w:color w:val="5A5A5A"/>
        </w:rPr>
        <w:t>Directly and explicitly answer: Yes, transfer learning techniques — specifically source pre-training on data-rich global commodity benchmarks combined with MMD-based domain adaptation and country-specific fine-tuning — improve forecasting performance in data-sparse emerging economies. Quantify the headline improvement (e.g., X% reduction in MAE, Y percentage-point gain in directional accuracy) and note the boundary conditions under which gains are largest.</w:t>
      </w:r>
    </w:p>
    <w:p w14:paraId="3B2F7F68" w14:textId="77777777" w:rsidR="001A629C" w:rsidRDefault="00000000">
      <w:pPr>
        <w:pStyle w:val="Heading2"/>
      </w:pPr>
      <w:r>
        <w:rPr>
          <w:color w:val="2E4A7A"/>
        </w:rPr>
        <w:t>7.3  Broader Significance</w:t>
      </w:r>
    </w:p>
    <w:p w14:paraId="28377D91" w14:textId="77777777" w:rsidR="001A629C" w:rsidRDefault="00000000">
      <w:pPr>
        <w:spacing w:before="60" w:after="100"/>
      </w:pPr>
      <w:r>
        <w:rPr>
          <w:color w:val="5A5A5A"/>
        </w:rPr>
        <w:t>Place the findings in the broader context of using machine learning for development economics and financial forecasting in low-income commodity-dependent countries. The thesis demonstrates that data poverty need not preclude sophisticated predictive modelling if knowledge transfer from data-rich markets is exploited systematically.</w:t>
      </w:r>
    </w:p>
    <w:p w14:paraId="73D8F3C5" w14:textId="77777777" w:rsidR="001A629C" w:rsidRDefault="00000000">
      <w:pPr>
        <w:pStyle w:val="Heading2"/>
      </w:pPr>
      <w:r>
        <w:rPr>
          <w:color w:val="2E4A7A"/>
        </w:rPr>
        <w:t>7.4  Closing Remarks</w:t>
      </w:r>
    </w:p>
    <w:p w14:paraId="650CD36F" w14:textId="77777777" w:rsidR="001A629C" w:rsidRDefault="00000000">
      <w:pPr>
        <w:spacing w:before="60" w:after="100"/>
      </w:pPr>
      <w:r>
        <w:rPr>
          <w:color w:val="5A5A5A"/>
        </w:rPr>
        <w:t>A short paragraph connecting the technical findings to their human-economic significance — commodity price uncertainty affects food security, fiscal stability, and investment planning in some of the world's most vulnerable economies. Improved forecasting, however incremental, has real-world consequences. End on the note that this thesis provides a replicable, open-source-ready pipeline that practitioners and future researchers can build on.</w:t>
      </w:r>
    </w:p>
    <w:p w14:paraId="381847BB" w14:textId="77777777" w:rsidR="001A629C" w:rsidRDefault="001A629C">
      <w:pPr>
        <w:spacing w:before="120" w:after="120"/>
      </w:pPr>
    </w:p>
    <w:p w14:paraId="168494D2" w14:textId="77777777" w:rsidR="001A629C" w:rsidRDefault="00000000">
      <w:r>
        <w:br w:type="page"/>
      </w:r>
    </w:p>
    <w:p w14:paraId="774E057E" w14:textId="77777777" w:rsidR="001A629C" w:rsidRDefault="00000000">
      <w:pPr>
        <w:pStyle w:val="Heading1"/>
        <w:pBdr>
          <w:bottom w:val="single" w:sz="6" w:space="2" w:color="D6E4F0"/>
        </w:pBdr>
        <w:spacing w:after="80"/>
      </w:pPr>
      <w:r>
        <w:rPr>
          <w:color w:val="2980B9"/>
        </w:rPr>
        <w:lastRenderedPageBreak/>
        <w:t xml:space="preserve">Appendices &amp; References  </w:t>
      </w:r>
    </w:p>
    <w:p w14:paraId="07359E60" w14:textId="77777777" w:rsidR="001A629C" w:rsidRDefault="00000000">
      <w:pPr>
        <w:spacing w:before="60" w:after="180"/>
      </w:pPr>
      <w:r>
        <w:rPr>
          <w:i/>
          <w:iCs/>
          <w:color w:val="2980B9"/>
          <w:sz w:val="21"/>
          <w:szCs w:val="21"/>
        </w:rPr>
        <w:t>Supporting material — approximately 5–6 pages / 1,900 words</w:t>
      </w:r>
    </w:p>
    <w:p w14:paraId="2F09760F" w14:textId="77777777" w:rsidR="001A629C" w:rsidRDefault="00000000">
      <w:pPr>
        <w:pStyle w:val="Heading2"/>
      </w:pPr>
      <w:r>
        <w:rPr>
          <w:color w:val="2E4A7A"/>
        </w:rPr>
        <w:t>Appendix A  —  Full Results Tables</w:t>
      </w:r>
    </w:p>
    <w:p w14:paraId="1902E53C" w14:textId="77777777" w:rsidR="001A629C" w:rsidRDefault="00000000">
      <w:pPr>
        <w:spacing w:before="60" w:after="100"/>
      </w:pPr>
      <w:r>
        <w:rPr>
          <w:color w:val="5A5A5A"/>
        </w:rPr>
        <w:t>Extended tables reporting MAE, RMSE, DA, MAPE, and Sharpe ratio for every commodity-country pair and every model variant, including all robustness checks. These tables are too detailed for the main text but are essential for reproducibility.</w:t>
      </w:r>
    </w:p>
    <w:p w14:paraId="1F20E2B9" w14:textId="77777777" w:rsidR="001A629C" w:rsidRDefault="00000000">
      <w:pPr>
        <w:pStyle w:val="Heading2"/>
      </w:pPr>
      <w:r>
        <w:rPr>
          <w:color w:val="2E4A7A"/>
        </w:rPr>
        <w:t>Appendix B  —  Model Architecture Specifications</w:t>
      </w:r>
    </w:p>
    <w:p w14:paraId="4BA6A853" w14:textId="77777777" w:rsidR="001A629C" w:rsidRDefault="00000000">
      <w:pPr>
        <w:spacing w:before="60" w:after="100"/>
      </w:pPr>
      <w:r>
        <w:rPr>
          <w:color w:val="5A5A5A"/>
        </w:rPr>
        <w:t>Precise hyperparameter values (layer counts, hidden units, dropout rates, kernel sizes, λ values, learning rates, batch sizes, number of epochs) for every model configuration reported in the paper, organised as a lookup table.</w:t>
      </w:r>
    </w:p>
    <w:p w14:paraId="53945F2E" w14:textId="77777777" w:rsidR="001A629C" w:rsidRDefault="00000000">
      <w:pPr>
        <w:pStyle w:val="Heading2"/>
      </w:pPr>
      <w:r>
        <w:rPr>
          <w:color w:val="2E4A7A"/>
        </w:rPr>
        <w:t>Appendix C  —  Data Sources &amp; Preprocessing</w:t>
      </w:r>
    </w:p>
    <w:p w14:paraId="7E14382E" w14:textId="77777777" w:rsidR="001A629C" w:rsidRDefault="00000000">
      <w:pPr>
        <w:spacing w:before="60" w:after="100"/>
      </w:pPr>
      <w:r>
        <w:rPr>
          <w:color w:val="5A5A5A"/>
        </w:rPr>
        <w:t xml:space="preserve">Full list of data sources with exact identifiers (e.g., Bloomberg tickers, </w:t>
      </w:r>
      <w:proofErr w:type="spellStart"/>
      <w:r>
        <w:rPr>
          <w:color w:val="5A5A5A"/>
        </w:rPr>
        <w:t>Quandl</w:t>
      </w:r>
      <w:proofErr w:type="spellEnd"/>
      <w:r>
        <w:rPr>
          <w:color w:val="5A5A5A"/>
        </w:rPr>
        <w:t>/FRED codes), download dates, and a description of all preprocessing steps — outlier treatment, handling of missing values, currency conversion where applicable, and the exact feature engineering formulae.</w:t>
      </w:r>
    </w:p>
    <w:p w14:paraId="68BC400F" w14:textId="77777777" w:rsidR="001A629C" w:rsidRDefault="00000000">
      <w:pPr>
        <w:pStyle w:val="Heading2"/>
      </w:pPr>
      <w:r>
        <w:rPr>
          <w:color w:val="2E4A7A"/>
        </w:rPr>
        <w:t>Appendix D  —  Statistical Tests</w:t>
      </w:r>
    </w:p>
    <w:p w14:paraId="18F26953" w14:textId="77777777" w:rsidR="001A629C" w:rsidRDefault="00000000">
      <w:pPr>
        <w:spacing w:before="60" w:after="100"/>
      </w:pPr>
      <w:r>
        <w:rPr>
          <w:color w:val="5A5A5A"/>
        </w:rPr>
        <w:t>Diebold-Mariano test results comparing forecast accuracy of the proposed model against each baseline at the 1%, 5%, and 10% significance levels. A model confidence set (MCS) table may also be included.</w:t>
      </w:r>
    </w:p>
    <w:p w14:paraId="26BF61E1" w14:textId="77777777" w:rsidR="001A629C" w:rsidRDefault="00000000">
      <w:pPr>
        <w:pStyle w:val="Heading2"/>
      </w:pPr>
      <w:r>
        <w:rPr>
          <w:color w:val="2E4A7A"/>
        </w:rPr>
        <w:t>References</w:t>
      </w:r>
    </w:p>
    <w:p w14:paraId="171ACE95" w14:textId="77777777" w:rsidR="001A629C" w:rsidRDefault="00000000">
      <w:pPr>
        <w:spacing w:before="60" w:after="100"/>
      </w:pPr>
      <w:r>
        <w:rPr>
          <w:color w:val="5A5A5A"/>
        </w:rPr>
        <w:t xml:space="preserve">Full bibliography in a consistent citation style (APA 7th or Chicago Author-Date recommended for economics theses). Should include 50–80 references covering commodity forecasting, transfer learning, domain adaptation, emerging market finance, and the foundational statistical learning texts. </w:t>
      </w:r>
      <w:proofErr w:type="spellStart"/>
      <w:r>
        <w:rPr>
          <w:color w:val="5A5A5A"/>
        </w:rPr>
        <w:t>Mashetty</w:t>
      </w:r>
      <w:proofErr w:type="spellEnd"/>
      <w:r>
        <w:rPr>
          <w:color w:val="5A5A5A"/>
        </w:rPr>
        <w:t xml:space="preserve"> et al. (2025) and the key transfer learning survey papers (Pan &amp; Yang 2010; Ganin et al. 2016; Long et al. 2015 on MMD) are core citations.</w:t>
      </w:r>
    </w:p>
    <w:p w14:paraId="7A73D56F" w14:textId="77777777" w:rsidR="001A629C" w:rsidRDefault="001A629C">
      <w:pPr>
        <w:spacing w:before="240" w:after="120"/>
      </w:pPr>
    </w:p>
    <w:p w14:paraId="48D00314" w14:textId="77777777" w:rsidR="001A629C" w:rsidRDefault="00000000">
      <w:r>
        <w:br w:type="page"/>
      </w:r>
    </w:p>
    <w:p w14:paraId="6F12E490" w14:textId="77777777" w:rsidR="001A629C" w:rsidRDefault="00000000">
      <w:pPr>
        <w:spacing w:before="120" w:after="180"/>
      </w:pPr>
      <w:r>
        <w:rPr>
          <w:rFonts w:ascii="Arial" w:eastAsia="Arial" w:hAnsi="Arial" w:cs="Arial"/>
          <w:b/>
          <w:bCs/>
          <w:color w:val="1F3864"/>
          <w:sz w:val="26"/>
          <w:szCs w:val="26"/>
        </w:rPr>
        <w:lastRenderedPageBreak/>
        <w:t>Writing &amp; Execution Notes</w:t>
      </w:r>
    </w:p>
    <w:p w14:paraId="42D76166" w14:textId="77777777" w:rsidR="001A629C" w:rsidRDefault="001A629C">
      <w:pPr>
        <w:pBdr>
          <w:bottom w:val="single" w:sz="8" w:space="1" w:color="2E4A7A"/>
        </w:pBdr>
        <w:spacing w:before="60" w:after="180"/>
      </w:pPr>
    </w:p>
    <w:p w14:paraId="5BC04DE9" w14:textId="77777777" w:rsidR="001A629C" w:rsidRDefault="001A629C">
      <w:pPr>
        <w:spacing w:before="60" w:after="120"/>
      </w:pPr>
    </w:p>
    <w:p w14:paraId="7B79C4E6" w14:textId="77777777" w:rsidR="001A629C" w:rsidRDefault="00000000">
      <w:pPr>
        <w:pStyle w:val="Heading2"/>
      </w:pPr>
      <w:r>
        <w:rPr>
          <w:color w:val="2E4A7A"/>
        </w:rPr>
        <w:t>Suggested Writing Order</w:t>
      </w:r>
    </w:p>
    <w:p w14:paraId="0983A2EB" w14:textId="77777777" w:rsidR="001A629C" w:rsidRDefault="00000000">
      <w:pPr>
        <w:spacing w:before="60" w:after="100"/>
      </w:pPr>
      <w:r>
        <w:rPr>
          <w:color w:val="5A5A5A"/>
        </w:rPr>
        <w:t>To minimise writer's block and maximise coherence, write chapters in this order: (3) Data → (4) Methodology → (5) Results → (2) Literature Review → (6) Discussion → (1) Introduction → (7) Conclusion. The introduction and conclusion are easiest to write last, once the story is clear.</w:t>
      </w:r>
    </w:p>
    <w:p w14:paraId="1A0DD27D" w14:textId="77777777" w:rsidR="001A629C" w:rsidRDefault="00000000">
      <w:pPr>
        <w:pStyle w:val="Heading2"/>
      </w:pPr>
      <w:r>
        <w:rPr>
          <w:color w:val="2E4A7A"/>
        </w:rPr>
        <w:t>Key Methodological Papers to Read First</w:t>
      </w:r>
    </w:p>
    <w:p w14:paraId="1F50B2F8" w14:textId="77777777" w:rsidR="001A629C" w:rsidRDefault="00000000">
      <w:pPr>
        <w:pStyle w:val="ListParagraph"/>
        <w:numPr>
          <w:ilvl w:val="0"/>
          <w:numId w:val="2"/>
        </w:numPr>
        <w:spacing w:before="40" w:after="60"/>
      </w:pPr>
      <w:r>
        <w:rPr>
          <w:color w:val="5A5A5A"/>
        </w:rPr>
        <w:t>Pan, S.J. &amp; Yang, Q. (2010). A Survey on Transfer Learning. IEEE TKDE. — the foundational taxonomy.</w:t>
      </w:r>
    </w:p>
    <w:p w14:paraId="75EE985A" w14:textId="77777777" w:rsidR="001A629C" w:rsidRDefault="00000000">
      <w:pPr>
        <w:pStyle w:val="ListParagraph"/>
        <w:numPr>
          <w:ilvl w:val="0"/>
          <w:numId w:val="2"/>
        </w:numPr>
        <w:spacing w:before="40" w:after="60"/>
      </w:pPr>
      <w:r>
        <w:rPr>
          <w:color w:val="5A5A5A"/>
        </w:rPr>
        <w:t>Ganin, Y. et al. (2016). Domain-Adversarial Training of Neural Networks. JMLR. — for DANN.</w:t>
      </w:r>
    </w:p>
    <w:p w14:paraId="5D57A0BE" w14:textId="77777777" w:rsidR="001A629C" w:rsidRDefault="00000000">
      <w:pPr>
        <w:pStyle w:val="ListParagraph"/>
        <w:numPr>
          <w:ilvl w:val="0"/>
          <w:numId w:val="2"/>
        </w:numPr>
        <w:spacing w:before="40" w:after="60"/>
      </w:pPr>
      <w:r>
        <w:rPr>
          <w:color w:val="5A5A5A"/>
        </w:rPr>
        <w:t>Long, M. et al. (2015). Learning Transferable Features with Deep Adaptation Networks. ICML. — for MMD in deep networks.</w:t>
      </w:r>
    </w:p>
    <w:p w14:paraId="05BE702B" w14:textId="77777777" w:rsidR="001A629C" w:rsidRDefault="00000000">
      <w:pPr>
        <w:pStyle w:val="ListParagraph"/>
        <w:numPr>
          <w:ilvl w:val="0"/>
          <w:numId w:val="2"/>
        </w:numPr>
        <w:spacing w:before="40" w:after="60"/>
      </w:pPr>
      <w:proofErr w:type="spellStart"/>
      <w:r>
        <w:rPr>
          <w:color w:val="5A5A5A"/>
        </w:rPr>
        <w:t>Mashetty</w:t>
      </w:r>
      <w:proofErr w:type="spellEnd"/>
      <w:r>
        <w:rPr>
          <w:color w:val="5A5A5A"/>
        </w:rPr>
        <w:t xml:space="preserve"> et al. (2025). Transfer Learning for Cross-Market Predictions. ICDICI-2025. — direct predecessor.</w:t>
      </w:r>
    </w:p>
    <w:p w14:paraId="75E1DE9C" w14:textId="77777777" w:rsidR="001A629C" w:rsidRDefault="00000000">
      <w:pPr>
        <w:pStyle w:val="ListParagraph"/>
        <w:numPr>
          <w:ilvl w:val="0"/>
          <w:numId w:val="2"/>
        </w:numPr>
        <w:spacing w:before="40" w:after="60"/>
      </w:pPr>
      <w:r>
        <w:rPr>
          <w:color w:val="5A5A5A"/>
        </w:rPr>
        <w:t>Diebold, F.X. &amp; Mariano, R.S. (1995). Comparing Predictive Accuracy. JBES. — for significance testing of forecast errors.</w:t>
      </w:r>
    </w:p>
    <w:p w14:paraId="75260154" w14:textId="77777777" w:rsidR="001A629C" w:rsidRDefault="00000000">
      <w:pPr>
        <w:pStyle w:val="Heading2"/>
      </w:pPr>
      <w:r>
        <w:rPr>
          <w:color w:val="2E4A7A"/>
        </w:rPr>
        <w:t xml:space="preserve">Differentiation from </w:t>
      </w:r>
      <w:proofErr w:type="spellStart"/>
      <w:r>
        <w:rPr>
          <w:color w:val="2E4A7A"/>
        </w:rPr>
        <w:t>Mashetty</w:t>
      </w:r>
      <w:proofErr w:type="spellEnd"/>
      <w:r>
        <w:rPr>
          <w:color w:val="2E4A7A"/>
        </w:rPr>
        <w:t xml:space="preserve"> et al. (2025)</w:t>
      </w:r>
    </w:p>
    <w:p w14:paraId="4E0DDAB1" w14:textId="77777777" w:rsidR="001A629C" w:rsidRDefault="00000000">
      <w:pPr>
        <w:spacing w:before="60" w:after="100"/>
      </w:pPr>
      <w:r>
        <w:rPr>
          <w:color w:val="5A5A5A"/>
        </w:rPr>
        <w:t>Your thesis should clearly go beyond the attached paper on five dimensions: (1) commodity markets rather than equity indices; (2) multiple target countries rather than a single benchmark; (3) explicit decomposition of pipeline stages via ablation; (4) robustness across commodity classes and sub-periods; (5) economic significance via trading simulation. Making this differentiation explicit in the introduction and literature review is critical for the examiner.</w:t>
      </w:r>
    </w:p>
    <w:p w14:paraId="048B96CA" w14:textId="77777777" w:rsidR="001A629C" w:rsidRDefault="00000000">
      <w:pPr>
        <w:pStyle w:val="Heading2"/>
      </w:pPr>
      <w:r>
        <w:rPr>
          <w:color w:val="2E4A7A"/>
        </w:rPr>
        <w:t>Typical Thesis Word-Count Pacing</w:t>
      </w:r>
    </w:p>
    <w:p w14:paraId="7A2478BB" w14:textId="77777777" w:rsidR="001A629C" w:rsidRDefault="00000000">
      <w:pPr>
        <w:spacing w:before="60" w:after="100"/>
      </w:pPr>
      <w:r>
        <w:rPr>
          <w:color w:val="5A5A5A"/>
        </w:rPr>
        <w:t>18,000 words over ~50 pages implies an average of ~360 words per page. At standard 1.5 line spacing with 12 pt font, a page accommodates roughly 350–400 words. The allocation above respects this: heavier chapters (Literature Review, Methodology, Results at ~3,000 words each) occupy ~8–10 pages, lighter chapters (Introduction, Discussion, Conclusion at ~1,200–2,000 words) occupy ~3–6 pages.</w:t>
      </w:r>
    </w:p>
    <w:p w14:paraId="6438845C" w14:textId="77777777" w:rsidR="001A629C" w:rsidRDefault="001A629C">
      <w:pPr>
        <w:spacing w:before="240" w:after="120"/>
      </w:pPr>
    </w:p>
    <w:sectPr w:rsidR="001A62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A09"/>
    <w:multiLevelType w:val="hybridMultilevel"/>
    <w:tmpl w:val="89C82CBC"/>
    <w:lvl w:ilvl="0" w:tplc="8A1A72EE">
      <w:start w:val="1"/>
      <w:numFmt w:val="bullet"/>
      <w:lvlText w:val="●"/>
      <w:lvlJc w:val="left"/>
      <w:pPr>
        <w:ind w:left="720" w:hanging="360"/>
      </w:pPr>
    </w:lvl>
    <w:lvl w:ilvl="1" w:tplc="7638E434">
      <w:start w:val="1"/>
      <w:numFmt w:val="bullet"/>
      <w:lvlText w:val="○"/>
      <w:lvlJc w:val="left"/>
      <w:pPr>
        <w:ind w:left="1440" w:hanging="360"/>
      </w:pPr>
    </w:lvl>
    <w:lvl w:ilvl="2" w:tplc="446082F8">
      <w:start w:val="1"/>
      <w:numFmt w:val="bullet"/>
      <w:lvlText w:val="■"/>
      <w:lvlJc w:val="left"/>
      <w:pPr>
        <w:ind w:left="2160" w:hanging="360"/>
      </w:pPr>
    </w:lvl>
    <w:lvl w:ilvl="3" w:tplc="D458B308">
      <w:start w:val="1"/>
      <w:numFmt w:val="bullet"/>
      <w:lvlText w:val="●"/>
      <w:lvlJc w:val="left"/>
      <w:pPr>
        <w:ind w:left="2880" w:hanging="360"/>
      </w:pPr>
    </w:lvl>
    <w:lvl w:ilvl="4" w:tplc="BDBECE8E">
      <w:start w:val="1"/>
      <w:numFmt w:val="bullet"/>
      <w:lvlText w:val="○"/>
      <w:lvlJc w:val="left"/>
      <w:pPr>
        <w:ind w:left="3600" w:hanging="360"/>
      </w:pPr>
    </w:lvl>
    <w:lvl w:ilvl="5" w:tplc="D3D297EE">
      <w:start w:val="1"/>
      <w:numFmt w:val="bullet"/>
      <w:lvlText w:val="■"/>
      <w:lvlJc w:val="left"/>
      <w:pPr>
        <w:ind w:left="4320" w:hanging="360"/>
      </w:pPr>
    </w:lvl>
    <w:lvl w:ilvl="6" w:tplc="16FE6B08">
      <w:start w:val="1"/>
      <w:numFmt w:val="bullet"/>
      <w:lvlText w:val="●"/>
      <w:lvlJc w:val="left"/>
      <w:pPr>
        <w:ind w:left="5040" w:hanging="360"/>
      </w:pPr>
    </w:lvl>
    <w:lvl w:ilvl="7" w:tplc="AB5A2A44">
      <w:start w:val="1"/>
      <w:numFmt w:val="bullet"/>
      <w:lvlText w:val="●"/>
      <w:lvlJc w:val="left"/>
      <w:pPr>
        <w:ind w:left="5760" w:hanging="360"/>
      </w:pPr>
    </w:lvl>
    <w:lvl w:ilvl="8" w:tplc="CE7C0846">
      <w:start w:val="1"/>
      <w:numFmt w:val="bullet"/>
      <w:lvlText w:val="●"/>
      <w:lvlJc w:val="left"/>
      <w:pPr>
        <w:ind w:left="6480" w:hanging="360"/>
      </w:pPr>
    </w:lvl>
  </w:abstractNum>
  <w:abstractNum w:abstractNumId="1" w15:restartNumberingAfterBreak="0">
    <w:nsid w:val="463B7A7A"/>
    <w:multiLevelType w:val="hybridMultilevel"/>
    <w:tmpl w:val="BED0B072"/>
    <w:lvl w:ilvl="0" w:tplc="94EEDC7C">
      <w:start w:val="1"/>
      <w:numFmt w:val="bullet"/>
      <w:lvlText w:val="•"/>
      <w:lvlJc w:val="left"/>
      <w:pPr>
        <w:ind w:left="720" w:hanging="360"/>
      </w:pPr>
    </w:lvl>
    <w:lvl w:ilvl="1" w:tplc="276A7676">
      <w:numFmt w:val="decimal"/>
      <w:lvlText w:val=""/>
      <w:lvlJc w:val="left"/>
    </w:lvl>
    <w:lvl w:ilvl="2" w:tplc="FFA88BEE">
      <w:numFmt w:val="decimal"/>
      <w:lvlText w:val=""/>
      <w:lvlJc w:val="left"/>
    </w:lvl>
    <w:lvl w:ilvl="3" w:tplc="94FCF860">
      <w:numFmt w:val="decimal"/>
      <w:lvlText w:val=""/>
      <w:lvlJc w:val="left"/>
    </w:lvl>
    <w:lvl w:ilvl="4" w:tplc="0BF28358">
      <w:numFmt w:val="decimal"/>
      <w:lvlText w:val=""/>
      <w:lvlJc w:val="left"/>
    </w:lvl>
    <w:lvl w:ilvl="5" w:tplc="41722692">
      <w:numFmt w:val="decimal"/>
      <w:lvlText w:val=""/>
      <w:lvlJc w:val="left"/>
    </w:lvl>
    <w:lvl w:ilvl="6" w:tplc="06320B92">
      <w:numFmt w:val="decimal"/>
      <w:lvlText w:val=""/>
      <w:lvlJc w:val="left"/>
    </w:lvl>
    <w:lvl w:ilvl="7" w:tplc="591278B4">
      <w:numFmt w:val="decimal"/>
      <w:lvlText w:val=""/>
      <w:lvlJc w:val="left"/>
    </w:lvl>
    <w:lvl w:ilvl="8" w:tplc="32AC5BBC">
      <w:numFmt w:val="decimal"/>
      <w:lvlText w:val=""/>
      <w:lvlJc w:val="left"/>
    </w:lvl>
  </w:abstractNum>
  <w:num w:numId="1" w16cid:durableId="2003894361">
    <w:abstractNumId w:val="0"/>
    <w:lvlOverride w:ilvl="0">
      <w:startOverride w:val="1"/>
    </w:lvlOverride>
  </w:num>
  <w:num w:numId="2" w16cid:durableId="21136710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29C"/>
    <w:rsid w:val="001A629C"/>
    <w:rsid w:val="00480BE0"/>
    <w:rsid w:val="00B01C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8678A"/>
  <w15:docId w15:val="{202B4F20-2E5B-4F34-82DB-CAFB00AB9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sz w:val="28"/>
      <w:szCs w:val="28"/>
    </w:rPr>
  </w:style>
  <w:style w:type="paragraph" w:styleId="Heading2">
    <w:name w:val="heading 2"/>
    <w:uiPriority w:val="9"/>
    <w:unhideWhenUsed/>
    <w:qFormat/>
    <w:pPr>
      <w:spacing w:before="240" w:after="80"/>
      <w:outlineLvl w:val="1"/>
    </w:pPr>
    <w:rPr>
      <w:rFonts w:ascii="Arial" w:eastAsia="Arial" w:hAnsi="Arial" w:cs="Arial"/>
      <w:b/>
      <w:bCs/>
      <w:sz w:val="23"/>
      <w:szCs w:val="23"/>
    </w:rPr>
  </w:style>
  <w:style w:type="paragraph" w:styleId="Heading3">
    <w:name w:val="heading 3"/>
    <w:uiPriority w:val="9"/>
    <w:unhideWhenUsed/>
    <w:qFormat/>
    <w:pPr>
      <w:spacing w:before="160" w:after="60"/>
      <w:outlineLvl w:val="2"/>
    </w:pPr>
    <w:rPr>
      <w:rFonts w:ascii="Arial" w:eastAsia="Arial" w:hAnsi="Arial" w:cs="Arial"/>
      <w:b/>
      <w:bCs/>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3673</Words>
  <Characters>20942</Characters>
  <Application>Microsoft Office Word</Application>
  <DocSecurity>0</DocSecurity>
  <Lines>174</Lines>
  <Paragraphs>49</Paragraphs>
  <ScaleCrop>false</ScaleCrop>
  <Company/>
  <LinksUpToDate>false</LinksUpToDate>
  <CharactersWithSpaces>24566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 MATTHIAS SPECKS</cp:lastModifiedBy>
  <cp:revision>2</cp:revision>
  <dcterms:created xsi:type="dcterms:W3CDTF">2026-06-19T23:32:00Z</dcterms:created>
  <dcterms:modified xsi:type="dcterms:W3CDTF">2026-06-19T23:32:00Z</dcterms:modified>
</cp:coreProperties>
</file>