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2E5496"/>
          <w:sz w:val="16"/>
          <w:szCs w:val="16"/>
        </w:rPr>
        <w:t xml:space="preserve">ASSIGNMENT 2 OF 2 · REQUIRED COVER SHEET · DUE SUNDAY 13 SEPTEMBER 2026, 23:59 SGT</w:t>
      </w:r>
    </w:p>
    <w:p>
      <w:pPr>
        <w:spacing w:after="26"/>
      </w:pPr>
      <w:r>
        <w:rPr>
          <w:b/>
          <w:bCs/>
          <w:color w:val="1F3864"/>
          <w:sz w:val="38"/>
          <w:szCs w:val="38"/>
        </w:rPr>
        <w:t xml:space="preserve">A2 Team Self-Appraisal</w:t>
      </w:r>
    </w:p>
    <w:p>
      <w:pPr>
        <w:spacing w:after="30"/>
      </w:pPr>
      <w:r>
        <w:rPr>
          <w:sz w:val="20"/>
        </w:rPr>
        <w:t>Team ID: B-1     Section: B     Problem chosen: A</w:t>
      </w:r>
    </w:p>
    <w:p>
      <w:pPr>
        <w:spacing w:after="30"/>
      </w:pPr>
      <w:r>
        <w:rPr>
          <w:sz w:val="20"/>
        </w:rPr>
        <w:t>Members: Meng Sijia; SHI SHUYI; Su Yang; Isha Kirti Ghia; Sun Hanyu; Zhang Jiayang</w:t>
      </w:r>
    </w:p>
    <w:p>
      <w:pPr>
        <w:spacing w:after="60"/>
      </w:pPr>
      <w:r>
        <w:rPr>
          <w:sz w:val="20"/>
        </w:rPr>
        <w:t>Repository URL: https://github.com/leosu5723-ys/NTU_6201_Group-1     Date: ____________</w:t>
      </w:r>
    </w:p>
    <w:p>
      <w:pPr>
        <w:spacing w:after="60"/>
      </w:pPr>
      <w:r>
        <w:rPr>
          <w:color w:val="595959"/>
          <w:sz w:val="18"/>
          <w:szCs w:val="18"/>
        </w:rPr>
        <w:t xml:space="preserve">ONE SHEET PER TEAM, not one per member. Complete it together, in one sitting, after the work is done — it takes about twenty minutes. CHECK IT INTO YOUR A2 SUBMISSION FOLDER alongside the rest of the submission, by the A2 deadline of Sunday 13 September 2026, 23:59 SGT; do not email it. This sheet is required and is not graded, but a missing self-appraisal is treated as an incomplete submission.</w:t>
      </w:r>
    </w:p>
    <w:p>
      <w:pPr>
        <w:spacing w:before="170" w:after="20"/>
      </w:pPr>
      <w:r>
        <w:rPr>
          <w:b/>
          <w:bCs/>
          <w:color w:val="1F3864"/>
          <w:sz w:val="21"/>
          <w:szCs w:val="21"/>
        </w:rPr>
        <w:t xml:space="preserve">1 · Rate your team against Rubric 1</w:t>
      </w:r>
    </w:p>
    <w:p>
      <w:pPr>
        <w:spacing w:after="40"/>
      </w:pPr>
      <w:r>
        <w:rPr>
          <w:color w:val="595959"/>
          <w:sz w:val="16"/>
          <w:szCs w:val="16"/>
        </w:rPr>
        <w:t xml:space="preserve">Circle or mark one band per criterion. Be honest rather than generous — a team that marks itself Excellent everywhere tells the marker nothing, and a large gap between your rating and the marker's is the single most useful thing on this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400"/>
        <w:gridCol w:w="1400"/>
        <w:gridCol w:w="1400"/>
        <w:gridCol w:w="1400"/>
      </w:tblGrid>
      <w:tr>
        <w:trPr/>
        <w:tc>
          <w:tcPr>
            <w:tcW w:type="dxa" w:w="2600"/>
            <w:vAlign w:val="center"/>
          </w:tcPr>
          <w:p>
            <w:pPr>
              <w:spacing w:before="40" w:after="40"/>
            </w:pPr>
            <w:r>
              <w:rPr>
                <w:b/>
                <w:bCs/>
                <w:color w:val="1F3864"/>
                <w:sz w:val="18"/>
                <w:szCs w:val="17"/>
              </w:rPr>
              <w:t xml:space="preserve">Criterion</w:t>
            </w:r>
          </w:p>
        </w:tc>
        <w:tc>
          <w:tcPr>
            <w:tcW w:type="dxa" w:w="800"/>
            <w:vAlign w:val="center"/>
          </w:tcPr>
          <w:p>
            <w:pPr>
              <w:spacing w:before="40" w:after="40"/>
              <w:jc w:val="center"/>
            </w:pPr>
            <w:r>
              <w:rPr>
                <w:b/>
                <w:bCs/>
                <w:color w:val="1F3864"/>
                <w:sz w:val="18"/>
                <w:szCs w:val="17"/>
              </w:rPr>
              <w:t xml:space="preserve">Weight</w:t>
            </w:r>
          </w:p>
        </w:tc>
        <w:tc>
          <w:tcPr>
            <w:tcW w:type="dxa" w:w="1400"/>
            <w:vAlign w:val="center"/>
          </w:tcPr>
          <w:p>
            <w:pPr>
              <w:spacing w:before="40" w:after="40"/>
              <w:jc w:val="center"/>
            </w:pPr>
            <w:r>
              <w:rPr>
                <w:b/>
                <w:bCs/>
                <w:color w:val="1F3864"/>
                <w:sz w:val="18"/>
                <w:szCs w:val="17"/>
              </w:rPr>
              <w:t xml:space="preserve">Excellent (4)</w:t>
            </w:r>
          </w:p>
        </w:tc>
        <w:tc>
          <w:tcPr>
            <w:tcW w:type="dxa" w:w="1400"/>
            <w:vAlign w:val="center"/>
          </w:tcPr>
          <w:p>
            <w:pPr>
              <w:spacing w:before="40" w:after="40"/>
              <w:jc w:val="center"/>
            </w:pPr>
            <w:r>
              <w:rPr>
                <w:b/>
                <w:bCs/>
                <w:color w:val="1F3864"/>
                <w:sz w:val="18"/>
                <w:szCs w:val="17"/>
              </w:rPr>
              <w:t xml:space="preserve">Proficient (3)</w:t>
            </w:r>
          </w:p>
        </w:tc>
        <w:tc>
          <w:tcPr>
            <w:tcW w:type="dxa" w:w="1400"/>
            <w:vAlign w:val="center"/>
          </w:tcPr>
          <w:p>
            <w:pPr>
              <w:spacing w:before="40" w:after="40"/>
              <w:jc w:val="center"/>
            </w:pPr>
            <w:r>
              <w:rPr>
                <w:b/>
                <w:bCs/>
                <w:color w:val="1F3864"/>
                <w:sz w:val="18"/>
                <w:szCs w:val="17"/>
              </w:rPr>
              <w:t xml:space="preserve">Developing (2)</w:t>
            </w:r>
          </w:p>
        </w:tc>
        <w:tc>
          <w:tcPr>
            <w:tcW w:type="dxa" w:w="1400"/>
            <w:vAlign w:val="center"/>
          </w:tcPr>
          <w:p>
            <w:pPr>
              <w:spacing w:before="40" w:after="40"/>
              <w:jc w:val="center"/>
            </w:pPr>
            <w:r>
              <w:rPr>
                <w:b/>
                <w:bCs/>
                <w:color w:val="1F3864"/>
                <w:sz w:val="18"/>
                <w:szCs w:val="17"/>
              </w:rPr>
              <w:t xml:space="preserve">Limited (1)</w:t>
            </w:r>
          </w:p>
        </w:tc>
      </w:tr>
      <w:tr>
        <w:trPr/>
        <w:tc>
          <w:tcPr>
            <w:tcW w:type="dxa" w:w="2600"/>
            <w:vAlign w:val="center"/>
          </w:tcPr>
          <w:p>
            <w:pPr>
              <w:spacing w:before="40" w:after="40"/>
            </w:pPr>
            <w:r>
              <w:rPr>
                <w:color w:val="1A1A1A"/>
                <w:sz w:val="18"/>
                <w:szCs w:val="18"/>
              </w:rPr>
              <w:t xml:space="preserve">Conceptual Understanding</w:t>
            </w:r>
          </w:p>
        </w:tc>
        <w:tc>
          <w:tcPr>
            <w:tcW w:type="dxa" w:w="800"/>
            <w:vAlign w:val="center"/>
          </w:tcPr>
          <w:p>
            <w:pPr>
              <w:spacing w:before="40" w:after="40"/>
              <w:jc w:val="center"/>
            </w:pPr>
            <w:r>
              <w:rPr>
                <w:color w:val="1A1A1A"/>
                <w:sz w:val="18"/>
                <w:szCs w:val="18"/>
              </w:rPr>
              <w:t xml:space="preserve">25%</w:t>
            </w:r>
          </w:p>
        </w:tc>
        <w:tc>
          <w:tcPr>
            <w:tcW w:type="dxa" w:w="1400"/>
            <w:vAlign w:val="center"/>
          </w:tcPr>
          <w:p>
            <w:pPr>
              <w:spacing w:before="40" w:after="40"/>
              <w:jc w:val="center"/>
            </w:pPr>
            <w:r>
              <w:rPr>
                <w:color w:val="1A1A1A"/>
                <w:sz w:val="18"/>
                <w:szCs w:val="18"/>
              </w:rPr>
              <w:t xml:space="preserve"/>
            </w:r>
          </w:p>
        </w:tc>
        <w:tc>
          <w:tcPr>
            <w:tcW w:type="dxa" w:w="1400"/>
            <w:vAlign w:val="center"/>
          </w:tcPr>
          <w:p>
            <w:pPr>
              <w:spacing w:before="40" w:after="40"/>
              <w:jc w:val="center"/>
            </w:pPr>
            <w:r>
              <w:rPr>
                <w:color w:val="1A1A1A"/>
                <w:sz w:val="18"/>
                <w:szCs w:val="18"/>
              </w:rPr>
              <w:t xml:space="preserve"/>
            </w:r>
          </w:p>
        </w:tc>
        <w:tc>
          <w:tcPr>
            <w:tcW w:type="dxa" w:w="1400"/>
            <w:vAlign w:val="center"/>
          </w:tcPr>
          <w:p>
            <w:pPr>
              <w:spacing w:before="40" w:after="40"/>
              <w:jc w:val="center"/>
            </w:pPr>
            <w:r>
              <w:rPr>
                <w:color w:val="1A1A1A"/>
                <w:sz w:val="18"/>
                <w:szCs w:val="18"/>
              </w:rPr>
              <w:t xml:space="preserve"/>
            </w:r>
          </w:p>
        </w:tc>
        <w:tc>
          <w:tcPr>
            <w:tcW w:type="dxa" w:w="1400"/>
            <w:vAlign w:val="center"/>
          </w:tcPr>
          <w:p>
            <w:pPr>
              <w:spacing w:before="40" w:after="40"/>
              <w:jc w:val="center"/>
            </w:pPr>
            <w:r>
              <w:rPr>
                <w:color w:val="1A1A1A"/>
                <w:sz w:val="18"/>
                <w:szCs w:val="18"/>
              </w:rPr>
              <w:t xml:space="preserve"/>
            </w:r>
          </w:p>
        </w:tc>
      </w:tr>
      <w:tr>
        <w:trPr/>
        <w:tc>
          <w:tcPr>
            <w:tcW w:type="dxa" w:w="2600"/>
            <w:vAlign w:val="center"/>
          </w:tcPr>
          <w:p>
            <w:pPr>
              <w:spacing w:before="40" w:after="40"/>
            </w:pPr>
            <w:r>
              <w:rPr>
                <w:color w:val="1A1A1A"/>
                <w:sz w:val="18"/>
                <w:szCs w:val="18"/>
              </w:rPr>
              <w:t xml:space="preserve">Technical Execution</w:t>
            </w:r>
          </w:p>
        </w:tc>
        <w:tc>
          <w:tcPr>
            <w:tcW w:type="dxa" w:w="800"/>
            <w:vAlign w:val="center"/>
          </w:tcPr>
          <w:p>
            <w:pPr>
              <w:spacing w:before="40" w:after="40"/>
              <w:jc w:val="center"/>
            </w:pPr>
            <w:r>
              <w:rPr>
                <w:color w:val="1A1A1A"/>
                <w:sz w:val="18"/>
                <w:szCs w:val="18"/>
              </w:rPr>
              <w:t xml:space="preserve">30%</w:t>
            </w:r>
          </w:p>
        </w:tc>
        <w:tc>
          <w:tcPr>
            <w:tcW w:type="dxa" w:w="1400"/>
            <w:vAlign w:val="center"/>
          </w:tcPr>
          <w:p>
            <w:pPr>
              <w:spacing w:before="40" w:after="40"/>
              <w:jc w:val="center"/>
            </w:pPr>
            <w:r>
              <w:rPr>
                <w:color w:val="1A1A1A"/>
                <w:sz w:val="18"/>
                <w:szCs w:val="18"/>
              </w:rPr>
              <w:t xml:space="preserve"/>
            </w:r>
          </w:p>
        </w:tc>
        <w:tc>
          <w:tcPr>
            <w:tcW w:type="dxa" w:w="1400"/>
            <w:vAlign w:val="center"/>
          </w:tcPr>
          <w:p>
            <w:pPr>
              <w:spacing w:before="40" w:after="40"/>
              <w:jc w:val="center"/>
            </w:pPr>
            <w:r>
              <w:rPr>
                <w:color w:val="1A1A1A"/>
                <w:sz w:val="18"/>
                <w:szCs w:val="18"/>
              </w:rPr>
              <w:t xml:space="preserve"/>
            </w:r>
          </w:p>
        </w:tc>
        <w:tc>
          <w:tcPr>
            <w:tcW w:type="dxa" w:w="1400"/>
            <w:vAlign w:val="center"/>
          </w:tcPr>
          <w:p>
            <w:pPr>
              <w:spacing w:before="40" w:after="40"/>
              <w:jc w:val="center"/>
            </w:pPr>
            <w:r>
              <w:rPr>
                <w:color w:val="1A1A1A"/>
                <w:sz w:val="18"/>
                <w:szCs w:val="18"/>
              </w:rPr>
              <w:t xml:space="preserve"/>
            </w:r>
          </w:p>
        </w:tc>
        <w:tc>
          <w:tcPr>
            <w:tcW w:type="dxa" w:w="1400"/>
            <w:vAlign w:val="center"/>
          </w:tcPr>
          <w:p>
            <w:pPr>
              <w:spacing w:before="40" w:after="40"/>
              <w:jc w:val="center"/>
            </w:pPr>
            <w:r>
              <w:rPr>
                <w:color w:val="1A1A1A"/>
                <w:sz w:val="18"/>
                <w:szCs w:val="18"/>
              </w:rPr>
              <w:t xml:space="preserve"/>
            </w:r>
          </w:p>
        </w:tc>
      </w:tr>
      <w:tr>
        <w:trPr/>
        <w:tc>
          <w:tcPr>
            <w:tcW w:type="dxa" w:w="2600"/>
            <w:vAlign w:val="center"/>
          </w:tcPr>
          <w:p>
            <w:pPr>
              <w:spacing w:before="40" w:after="40"/>
            </w:pPr>
            <w:r>
              <w:rPr>
                <w:color w:val="1A1A1A"/>
                <w:sz w:val="18"/>
                <w:szCs w:val="18"/>
              </w:rPr>
              <w:t xml:space="preserve">Reasoning &amp; Justification</w:t>
            </w:r>
          </w:p>
        </w:tc>
        <w:tc>
          <w:tcPr>
            <w:tcW w:type="dxa" w:w="800"/>
            <w:vAlign w:val="center"/>
          </w:tcPr>
          <w:p>
            <w:pPr>
              <w:spacing w:before="40" w:after="40"/>
              <w:jc w:val="center"/>
            </w:pPr>
            <w:r>
              <w:rPr>
                <w:color w:val="1A1A1A"/>
                <w:sz w:val="18"/>
                <w:szCs w:val="18"/>
              </w:rPr>
              <w:t xml:space="preserve">25%</w:t>
            </w:r>
          </w:p>
        </w:tc>
        <w:tc>
          <w:tcPr>
            <w:tcW w:type="dxa" w:w="1400"/>
            <w:vAlign w:val="center"/>
          </w:tcPr>
          <w:p>
            <w:pPr>
              <w:spacing w:before="40" w:after="40"/>
              <w:jc w:val="center"/>
            </w:pPr>
            <w:r>
              <w:rPr>
                <w:color w:val="1A1A1A"/>
                <w:sz w:val="18"/>
                <w:szCs w:val="18"/>
              </w:rPr>
              <w:t xml:space="preserve"/>
            </w:r>
          </w:p>
        </w:tc>
        <w:tc>
          <w:tcPr>
            <w:tcW w:type="dxa" w:w="1400"/>
            <w:vAlign w:val="center"/>
          </w:tcPr>
          <w:p>
            <w:pPr>
              <w:spacing w:before="40" w:after="40"/>
              <w:jc w:val="center"/>
            </w:pPr>
            <w:r>
              <w:rPr>
                <w:color w:val="1A1A1A"/>
                <w:sz w:val="18"/>
                <w:szCs w:val="18"/>
              </w:rPr>
              <w:t xml:space="preserve"/>
            </w:r>
          </w:p>
        </w:tc>
        <w:tc>
          <w:tcPr>
            <w:tcW w:type="dxa" w:w="1400"/>
            <w:vAlign w:val="center"/>
          </w:tcPr>
          <w:p>
            <w:pPr>
              <w:spacing w:before="40" w:after="40"/>
              <w:jc w:val="center"/>
            </w:pPr>
            <w:r>
              <w:rPr>
                <w:color w:val="1A1A1A"/>
                <w:sz w:val="18"/>
                <w:szCs w:val="18"/>
              </w:rPr>
              <w:t xml:space="preserve"/>
            </w:r>
          </w:p>
        </w:tc>
        <w:tc>
          <w:tcPr>
            <w:tcW w:type="dxa" w:w="1400"/>
            <w:vAlign w:val="center"/>
          </w:tcPr>
          <w:p>
            <w:pPr>
              <w:spacing w:before="40" w:after="40"/>
              <w:jc w:val="center"/>
            </w:pPr>
            <w:r>
              <w:rPr>
                <w:color w:val="1A1A1A"/>
                <w:sz w:val="18"/>
                <w:szCs w:val="18"/>
              </w:rPr>
              <w:t xml:space="preserve"/>
            </w:r>
          </w:p>
        </w:tc>
      </w:tr>
      <w:tr>
        <w:trPr/>
        <w:tc>
          <w:tcPr>
            <w:tcW w:type="dxa" w:w="2600"/>
            <w:vAlign w:val="center"/>
          </w:tcPr>
          <w:p>
            <w:pPr>
              <w:spacing w:before="40" w:after="40"/>
            </w:pPr>
            <w:r>
              <w:rPr>
                <w:color w:val="1A1A1A"/>
                <w:sz w:val="18"/>
                <w:szCs w:val="18"/>
              </w:rPr>
              <w:t xml:space="preserve">Communication &amp; Clarity</w:t>
            </w:r>
          </w:p>
        </w:tc>
        <w:tc>
          <w:tcPr>
            <w:tcW w:type="dxa" w:w="800"/>
            <w:vAlign w:val="center"/>
          </w:tcPr>
          <w:p>
            <w:pPr>
              <w:spacing w:before="40" w:after="40"/>
              <w:jc w:val="center"/>
            </w:pPr>
            <w:r>
              <w:rPr>
                <w:color w:val="1A1A1A"/>
                <w:sz w:val="18"/>
                <w:szCs w:val="18"/>
              </w:rPr>
              <w:t xml:space="preserve">20%</w:t>
            </w:r>
          </w:p>
        </w:tc>
        <w:tc>
          <w:tcPr>
            <w:tcW w:type="dxa" w:w="1400"/>
            <w:vAlign w:val="center"/>
          </w:tcPr>
          <w:p>
            <w:pPr>
              <w:spacing w:before="40" w:after="40"/>
              <w:jc w:val="center"/>
            </w:pPr>
            <w:r>
              <w:rPr>
                <w:color w:val="1A1A1A"/>
                <w:sz w:val="18"/>
                <w:szCs w:val="18"/>
              </w:rPr>
              <w:t xml:space="preserve"/>
            </w:r>
          </w:p>
        </w:tc>
        <w:tc>
          <w:tcPr>
            <w:tcW w:type="dxa" w:w="1400"/>
            <w:vAlign w:val="center"/>
          </w:tcPr>
          <w:p>
            <w:pPr>
              <w:spacing w:before="40" w:after="40"/>
              <w:jc w:val="center"/>
            </w:pPr>
            <w:r>
              <w:rPr>
                <w:color w:val="1A1A1A"/>
                <w:sz w:val="18"/>
                <w:szCs w:val="18"/>
              </w:rPr>
              <w:t xml:space="preserve"/>
            </w:r>
          </w:p>
        </w:tc>
        <w:tc>
          <w:tcPr>
            <w:tcW w:type="dxa" w:w="1400"/>
            <w:vAlign w:val="center"/>
          </w:tcPr>
          <w:p>
            <w:pPr>
              <w:spacing w:before="40" w:after="40"/>
              <w:jc w:val="center"/>
            </w:pPr>
            <w:r>
              <w:rPr>
                <w:color w:val="1A1A1A"/>
                <w:sz w:val="18"/>
                <w:szCs w:val="18"/>
              </w:rPr>
              <w:t xml:space="preserve"/>
            </w:r>
          </w:p>
        </w:tc>
        <w:tc>
          <w:tcPr>
            <w:tcW w:type="dxa" w:w="1400"/>
            <w:vAlign w:val="center"/>
          </w:tcPr>
          <w:p>
            <w:pPr>
              <w:spacing w:before="40" w:after="40"/>
              <w:jc w:val="center"/>
            </w:pPr>
            <w:r>
              <w:rPr>
                <w:color w:val="1A1A1A"/>
                <w:sz w:val="18"/>
                <w:szCs w:val="18"/>
              </w:rPr>
              <w:t xml:space="preserve"/>
            </w:r>
          </w:p>
        </w:tc>
      </w:tr>
    </w:tbl>
    <w:p>
      <w:pPr>
        <w:spacing w:before="170" w:after="20"/>
      </w:pPr>
      <w:r>
        <w:rPr>
          <w:b/>
          <w:bCs/>
          <w:color w:val="1F3864"/>
          <w:sz w:val="21"/>
          <w:szCs w:val="21"/>
        </w:rPr>
        <w:t xml:space="preserve">2 · The one decision you would defend hardest</w:t>
      </w:r>
    </w:p>
    <w:p>
      <w:pPr>
        <w:spacing w:after="40"/>
      </w:pPr>
      <w:r>
        <w:rPr>
          <w:color w:val="595959"/>
          <w:sz w:val="16"/>
          <w:szCs w:val="16"/>
        </w:rPr>
        <w:t xml:space="preserve">Name a single design decision — a tool you cut, the autonomy setting you chose, the dependency rule behind your parallel calls, the model you settled on — and say what evidence made it. Four or five sentences.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c>
          <w:tcPr>
            <w:tcW w:type="dxa" w:w="9026"/>
          </w:tcPr>
          <w:p>
            <w:r>
              <w:rPr>
                <w:sz w:val="18"/>
              </w:rPr>
              <w:t>We would defend the dependency rule behind our parallel calls. The starter example paired a policy lookup with coverage calls that needed the policy ID it had not yet returned. Our line-review interface instead uses the member ID already available from the claim and resolves the policy internally. The scripted comparison retained 40/40 correct cases while reducing turns from 251 to 157 and estimated input tokens from 911,506 to 609,144. This is measured efficiency on the scripted trajectories, not proof that every live model will choose the same ordering.</w:t>
            </w:r>
          </w:p>
        </w:tc>
      </w:tr>
    </w:tbl>
    <w:p>
      <w:pPr>
        <w:spacing w:before="170" w:after="20"/>
      </w:pPr>
      <w:r>
        <w:rPr>
          <w:b/>
          <w:bCs/>
          <w:color w:val="1F3864"/>
          <w:sz w:val="21"/>
          <w:szCs w:val="21"/>
        </w:rPr>
        <w:t xml:space="preserve">3 · The one you are least sure about</w:t>
      </w:r>
    </w:p>
    <w:p>
      <w:pPr>
        <w:spacing w:after="40"/>
      </w:pPr>
      <w:r>
        <w:rPr>
          <w:color w:val="595959"/>
          <w:sz w:val="16"/>
          <w:szCs w:val="16"/>
        </w:rPr>
        <w:t xml:space="preserve">Every team has one. Naming it costs you nothing here and it is often the most interesting thing in the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c>
          <w:tcPr>
            <w:tcW w:type="dxa" w:w="9026"/>
          </w:tcPr>
          <w:p>
            <w:r>
              <w:rPr>
                <w:sz w:val="18"/>
              </w:rPr>
              <w:t>Our hostile-input protection is deliberately narrow. Known instruction patterns are detected in code before the claim observation returns to the model. Passing these cases demonstrates the shipped guard, not independent model resistance to prompt injection. We would require broader adversarial testing and independent security review before deployment, including paraphrases that do not match the current patterns.</w:t>
            </w:r>
          </w:p>
        </w:tc>
      </w:tr>
    </w:tbl>
    <w:p>
      <w:pPr>
        <w:spacing w:before="170" w:after="20"/>
      </w:pPr>
      <w:r>
        <w:rPr>
          <w:b/>
          <w:bCs/>
          <w:color w:val="1F3864"/>
          <w:sz w:val="21"/>
          <w:szCs w:val="21"/>
        </w:rPr>
        <w:t xml:space="preserve">4 · Your headline numbers</w:t>
      </w:r>
    </w:p>
    <w:p>
      <w:pPr>
        <w:spacing w:after="40"/>
      </w:pPr>
      <w:r>
        <w:rPr>
          <w:color w:val="595959"/>
          <w:sz w:val="16"/>
          <w:szCs w:val="16"/>
        </w:rPr>
        <w:t xml:space="preserve">Copy these from your repository. If any cell is empty, that is worth noticing before you submit rather than after.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000"/>
        <w:gridCol w:w="1600"/>
      </w:tblGrid>
      <w:tr>
        <w:trPr/>
        <w:tc>
          <w:tcPr>
            <w:tcW w:type="dxa" w:w="3000"/>
            <w:vAlign w:val="center"/>
          </w:tcPr>
          <w:p>
            <w:pPr>
              <w:spacing w:before="40" w:after="40"/>
            </w:pPr>
            <w:r>
              <w:rPr>
                <w:b/>
                <w:bCs/>
                <w:color w:val="1F3864"/>
                <w:sz w:val="18"/>
                <w:szCs w:val="17"/>
              </w:rPr>
              <w:t xml:space="preserve"/>
            </w:r>
          </w:p>
        </w:tc>
        <w:tc>
          <w:tcPr>
            <w:tcW w:type="dxa" w:w="1600"/>
            <w:vAlign w:val="center"/>
          </w:tcPr>
          <w:p>
            <w:pPr>
              <w:spacing w:before="40" w:after="40"/>
              <w:jc w:val="center"/>
            </w:pPr>
            <w:r>
              <w:rPr>
                <w:b/>
                <w:bCs/>
                <w:color w:val="1F3864"/>
                <w:sz w:val="18"/>
                <w:szCs w:val="17"/>
              </w:rPr>
              <w:t xml:space="preserve">Value</w:t>
            </w:r>
          </w:p>
        </w:tc>
        <w:tc>
          <w:tcPr>
            <w:tcW w:type="dxa" w:w="3000"/>
            <w:vAlign w:val="center"/>
          </w:tcPr>
          <w:p>
            <w:pPr>
              <w:spacing w:before="40" w:after="40"/>
              <w:jc w:val="center"/>
            </w:pPr>
            <w:r>
              <w:rPr>
                <w:b/>
                <w:bCs/>
                <w:color w:val="1F3864"/>
                <w:sz w:val="18"/>
                <w:szCs w:val="17"/>
              </w:rPr>
              <w:t xml:space="preserve"/>
            </w:r>
          </w:p>
        </w:tc>
        <w:tc>
          <w:tcPr>
            <w:tcW w:type="dxa" w:w="1600"/>
            <w:vAlign w:val="center"/>
          </w:tcPr>
          <w:p>
            <w:pPr>
              <w:spacing w:before="40" w:after="40"/>
              <w:jc w:val="center"/>
            </w:pPr>
            <w:r>
              <w:rPr>
                <w:b/>
                <w:bCs/>
                <w:color w:val="1F3864"/>
                <w:sz w:val="18"/>
                <w:szCs w:val="17"/>
              </w:rPr>
              <w:t xml:space="preserve">Value</w:t>
            </w:r>
          </w:p>
        </w:tc>
      </w:tr>
      <w:tr>
        <w:trPr/>
        <w:tc>
          <w:tcPr>
            <w:tcW w:type="dxa" w:w="3000"/>
            <w:vAlign w:val="center"/>
          </w:tcPr>
          <w:p>
            <w:pPr>
              <w:spacing w:before="40" w:after="40"/>
            </w:pPr>
            <w:r>
              <w:rPr>
                <w:color w:val="1A1A1A"/>
                <w:sz w:val="18"/>
                <w:szCs w:val="18"/>
              </w:rPr>
              <w:t xml:space="preserve">Evaluation cases</w:t>
            </w:r>
          </w:p>
        </w:tc>
        <w:tc>
          <w:tcPr>
            <w:tcW w:type="dxa" w:w="1600"/>
            <w:vAlign w:val="center"/>
          </w:tcPr>
          <w:p>
            <w:r>
              <w:rPr>
                <w:sz w:val="18"/>
              </w:rPr>
              <w:t>40</w:t>
            </w:r>
          </w:p>
        </w:tc>
        <w:tc>
          <w:tcPr>
            <w:tcW w:type="dxa" w:w="3000"/>
            <w:vAlign w:val="center"/>
          </w:tcPr>
          <w:p>
            <w:pPr>
              <w:spacing w:before="40" w:after="40"/>
              <w:jc w:val="center"/>
            </w:pPr>
            <w:r>
              <w:rPr>
                <w:color w:val="1A1A1A"/>
                <w:sz w:val="18"/>
                <w:szCs w:val="18"/>
              </w:rPr>
              <w:t xml:space="preserve">Guardrail cases</w:t>
            </w:r>
          </w:p>
        </w:tc>
        <w:tc>
          <w:tcPr>
            <w:tcW w:type="dxa" w:w="1600"/>
            <w:vAlign w:val="center"/>
          </w:tcPr>
          <w:p>
            <w:r>
              <w:rPr>
                <w:sz w:val="18"/>
              </w:rPr>
              <w:t>10 scripted checklist cases</w:t>
            </w:r>
          </w:p>
        </w:tc>
      </w:tr>
      <w:tr>
        <w:trPr/>
        <w:tc>
          <w:tcPr>
            <w:tcW w:type="dxa" w:w="3000"/>
            <w:vAlign w:val="center"/>
          </w:tcPr>
          <w:p>
            <w:pPr>
              <w:spacing w:before="40" w:after="40"/>
            </w:pPr>
            <w:r>
              <w:rPr>
                <w:color w:val="1A1A1A"/>
                <w:sz w:val="18"/>
                <w:szCs w:val="18"/>
              </w:rPr>
              <w:t xml:space="preserve">Negative cases</w:t>
            </w:r>
          </w:p>
        </w:tc>
        <w:tc>
          <w:tcPr>
            <w:tcW w:type="dxa" w:w="1600"/>
            <w:vAlign w:val="center"/>
          </w:tcPr>
          <w:p>
            <w:r>
              <w:rPr>
                <w:sz w:val="18"/>
              </w:rPr>
              <w:t>10</w:t>
            </w:r>
          </w:p>
        </w:tc>
        <w:tc>
          <w:tcPr>
            <w:tcW w:type="dxa" w:w="3000"/>
            <w:vAlign w:val="center"/>
          </w:tcPr>
          <w:p>
            <w:pPr>
              <w:spacing w:before="40" w:after="40"/>
              <w:jc w:val="center"/>
            </w:pPr>
            <w:r>
              <w:rPr>
                <w:color w:val="1A1A1A"/>
                <w:sz w:val="18"/>
                <w:szCs w:val="18"/>
              </w:rPr>
              <w:t xml:space="preserve">Live runs per model (D4)</w:t>
            </w:r>
          </w:p>
        </w:tc>
        <w:tc>
          <w:tcPr>
            <w:tcW w:type="dxa" w:w="1600"/>
            <w:vAlign w:val="center"/>
          </w:tcPr>
          <w:p>
            <w:r>
              <w:rPr>
                <w:sz w:val="18"/>
              </w:rPr>
              <w:t>60: ordinary ×1; negative ×3</w:t>
            </w:r>
          </w:p>
        </w:tc>
      </w:tr>
      <w:tr>
        <w:trPr/>
        <w:tc>
          <w:tcPr>
            <w:tcW w:type="dxa" w:w="3000"/>
            <w:vAlign w:val="center"/>
          </w:tcPr>
          <w:p>
            <w:pPr>
              <w:spacing w:before="40" w:after="40"/>
            </w:pPr>
            <w:r>
              <w:rPr>
                <w:color w:val="1A1A1A"/>
                <w:sz w:val="18"/>
                <w:szCs w:val="18"/>
              </w:rPr>
              <w:t xml:space="preserve">Pass rate (best model)</w:t>
            </w:r>
          </w:p>
        </w:tc>
        <w:tc>
          <w:tcPr>
            <w:tcW w:type="dxa" w:w="1600"/>
            <w:vAlign w:val="center"/>
          </w:tcPr>
          <w:p>
            <w:r>
              <w:rPr>
                <w:sz w:val="18"/>
              </w:rPr>
              <w:t>DeepSeek v2: 55/60 (91.7%)</w:t>
            </w:r>
          </w:p>
        </w:tc>
        <w:tc>
          <w:tcPr>
            <w:tcW w:type="dxa" w:w="3000"/>
            <w:vAlign w:val="center"/>
          </w:tcPr>
          <w:p>
            <w:pPr>
              <w:spacing w:before="40" w:after="40"/>
              <w:jc w:val="center"/>
            </w:pPr>
            <w:r>
              <w:rPr>
                <w:color w:val="1A1A1A"/>
                <w:sz w:val="18"/>
                <w:szCs w:val="18"/>
              </w:rPr>
              <w:t xml:space="preserve">Pass rate on negatives only</w:t>
            </w:r>
          </w:p>
        </w:tc>
        <w:tc>
          <w:tcPr>
            <w:tcW w:type="dxa" w:w="1600"/>
            <w:vAlign w:val="center"/>
          </w:tcPr>
          <w:p>
            <w:r>
              <w:rPr>
                <w:sz w:val="18"/>
              </w:rPr>
              <w:t>DeepSeek v2: 29/30 (96.7%)</w:t>
            </w:r>
          </w:p>
        </w:tc>
      </w:tr>
      <w:tr>
        <w:trPr/>
        <w:tc>
          <w:tcPr>
            <w:tcW w:type="dxa" w:w="3000"/>
            <w:vAlign w:val="center"/>
          </w:tcPr>
          <w:p>
            <w:pPr>
              <w:spacing w:before="40" w:after="40"/>
            </w:pPr>
            <w:r>
              <w:rPr>
                <w:color w:val="1A1A1A"/>
                <w:sz w:val="18"/>
                <w:szCs w:val="18"/>
              </w:rPr>
              <w:t xml:space="preserve">Models in the battery</w:t>
            </w:r>
          </w:p>
        </w:tc>
        <w:tc>
          <w:tcPr>
            <w:tcW w:type="dxa" w:w="1600"/>
            <w:vAlign w:val="center"/>
          </w:tcPr>
          <w:p>
            <w:r>
              <w:rPr>
                <w:sz w:val="18"/>
              </w:rPr>
              <w:t>5 v2 model families + Gemini v1 control</w:t>
            </w:r>
          </w:p>
        </w:tc>
        <w:tc>
          <w:tcPr>
            <w:tcW w:type="dxa" w:w="3000"/>
            <w:vAlign w:val="center"/>
          </w:tcPr>
          <w:p>
            <w:pPr>
              <w:spacing w:before="40" w:after="40"/>
              <w:jc w:val="center"/>
            </w:pPr>
            <w:r>
              <w:rPr>
                <w:color w:val="1A1A1A"/>
                <w:sz w:val="18"/>
                <w:szCs w:val="18"/>
              </w:rPr>
              <w:t xml:space="preserve">Median turns per run</w:t>
            </w:r>
          </w:p>
        </w:tc>
        <w:tc>
          <w:tcPr>
            <w:tcW w:type="dxa" w:w="1600"/>
            <w:vAlign w:val="center"/>
          </w:tcPr>
          <w:p>
            <w:r>
              <w:rPr>
                <w:sz w:val="18"/>
              </w:rPr>
              <w:t>DeepSeek: 4</w:t>
            </w:r>
          </w:p>
        </w:tc>
      </w:tr>
      <w:tr>
        <w:trPr/>
        <w:tc>
          <w:tcPr>
            <w:tcW w:type="dxa" w:w="3000"/>
            <w:vAlign w:val="center"/>
          </w:tcPr>
          <w:p>
            <w:pPr>
              <w:spacing w:before="40" w:after="40"/>
            </w:pPr>
            <w:r>
              <w:rPr>
                <w:color w:val="1A1A1A"/>
                <w:sz w:val="18"/>
                <w:szCs w:val="18"/>
              </w:rPr>
              <w:t xml:space="preserve">The live model YOU ran (D5b)</w:t>
            </w:r>
          </w:p>
        </w:tc>
        <w:tc>
          <w:tcPr>
            <w:tcW w:type="dxa" w:w="1600"/>
            <w:vAlign w:val="center"/>
          </w:tcPr>
          <w:p>
            <w:r>
              <w:rPr>
                <w:sz w:val="18"/>
              </w:rPr>
              <w:t>See member/model table below</w:t>
            </w:r>
          </w:p>
        </w:tc>
        <w:tc>
          <w:tcPr>
            <w:tcW w:type="dxa" w:w="3000"/>
            <w:vAlign w:val="center"/>
          </w:tcPr>
          <w:p>
            <w:pPr>
              <w:spacing w:before="40" w:after="40"/>
              <w:jc w:val="center"/>
            </w:pPr>
            <w:r>
              <w:rPr>
                <w:color w:val="1A1A1A"/>
                <w:sz w:val="18"/>
                <w:szCs w:val="18"/>
              </w:rPr>
              <w:t xml:space="preserve">Your pass rate on it</w:t>
            </w:r>
          </w:p>
        </w:tc>
        <w:tc>
          <w:tcPr>
            <w:tcW w:type="dxa" w:w="1600"/>
            <w:vAlign w:val="center"/>
          </w:tcPr>
          <w:p>
            <w:r>
              <w:rPr>
                <w:sz w:val="18"/>
              </w:rPr>
              <w:t>See member/model table below</w:t>
            </w:r>
          </w:p>
        </w:tc>
      </w:tr>
      <w:tr>
        <w:trPr/>
        <w:tc>
          <w:tcPr>
            <w:tcW w:type="dxa" w:w="3000"/>
            <w:vAlign w:val="center"/>
          </w:tcPr>
          <w:p>
            <w:pPr>
              <w:spacing w:before="40" w:after="40"/>
            </w:pPr>
            <w:r>
              <w:rPr>
                <w:color w:val="1A1A1A"/>
                <w:sz w:val="18"/>
                <w:szCs w:val="18"/>
              </w:rPr>
              <w:t xml:space="preserve">Turns saved by parallel calls</w:t>
            </w:r>
          </w:p>
        </w:tc>
        <w:tc>
          <w:tcPr>
            <w:tcW w:type="dxa" w:w="1600"/>
            <w:vAlign w:val="center"/>
          </w:tcPr>
          <w:p>
            <w:r>
              <w:rPr>
                <w:sz w:val="18"/>
              </w:rPr>
              <w:t>94 total turns: 251 → 157 on 40 scripted cases</w:t>
            </w:r>
          </w:p>
        </w:tc>
        <w:tc>
          <w:tcPr>
            <w:tcW w:type="dxa" w:w="3000"/>
            <w:vAlign w:val="center"/>
          </w:tcPr>
          <w:p>
            <w:pPr>
              <w:spacing w:before="40" w:after="40"/>
              <w:jc w:val="center"/>
            </w:pPr>
            <w:r>
              <w:rPr>
                <w:color w:val="1A1A1A"/>
                <w:sz w:val="18"/>
                <w:szCs w:val="18"/>
              </w:rPr>
              <w:t xml:space="preserve">Cost per successful task</w:t>
            </w:r>
          </w:p>
        </w:tc>
        <w:tc>
          <w:tcPr>
            <w:tcW w:type="dxa" w:w="1600"/>
            <w:vAlign w:val="center"/>
          </w:tcPr>
          <w:p>
            <w:r>
              <w:rPr>
                <w:sz w:val="18"/>
              </w:rPr>
              <w:t>$0.82758 per incoming task resolved by agent or fallback; excludes fixed cost</w:t>
            </w:r>
          </w:p>
        </w:tc>
      </w:tr>
      <w:tr>
        <w:trPr/>
        <w:tc>
          <w:tcPr>
            <w:tcW w:type="dxa" w:w="3000"/>
            <w:vAlign w:val="center"/>
          </w:tcPr>
          <w:p>
            <w:pPr>
              <w:spacing w:before="40" w:after="40"/>
            </w:pPr>
            <w:r>
              <w:rPr>
                <w:color w:val="1A1A1A"/>
                <w:sz w:val="18"/>
                <w:szCs w:val="18"/>
              </w:rPr>
              <w:t xml:space="preserve">Monthly cost at problem volume</w:t>
            </w:r>
          </w:p>
        </w:tc>
        <w:tc>
          <w:tcPr>
            <w:tcW w:type="dxa" w:w="1600"/>
            <w:vAlign w:val="center"/>
          </w:tcPr>
          <w:p>
            <w:r>
              <w:rPr>
                <w:sz w:val="18"/>
              </w:rPr>
              <w:t>$7,020.66 at 8,000 claims/month; includes $400 fixed cost</w:t>
            </w:r>
          </w:p>
        </w:tc>
        <w:tc>
          <w:tcPr>
            <w:tcW w:type="dxa" w:w="3000"/>
            <w:vAlign w:val="center"/>
          </w:tcPr>
          <w:p>
            <w:pPr>
              <w:spacing w:before="40" w:after="40"/>
              <w:jc w:val="center"/>
            </w:pPr>
            <w:r>
              <w:rPr>
                <w:color w:val="1A1A1A"/>
                <w:sz w:val="18"/>
                <w:szCs w:val="18"/>
              </w:rPr>
              <w:t xml:space="preserve">Break-even success rate</w:t>
            </w:r>
          </w:p>
        </w:tc>
        <w:tc>
          <w:tcPr>
            <w:tcW w:type="dxa" w:w="1600"/>
            <w:vAlign w:val="center"/>
          </w:tcPr>
          <w:p>
            <w:r>
              <w:rPr>
                <w:sz w:val="18"/>
              </w:rPr>
              <w:t>Qwen: 89.12% required; 47.50% measured</w:t>
            </w:r>
          </w:p>
        </w:tc>
      </w:tr>
      <w:tr>
        <w:trPr/>
        <w:tc>
          <w:tcPr>
            <w:tcW w:type="dxa" w:w="3000"/>
            <w:vAlign w:val="center"/>
          </w:tcPr>
          <w:p>
            <w:pPr>
              <w:spacing w:before="40" w:after="40"/>
            </w:pPr>
            <w:r>
              <w:rPr>
                <w:color w:val="1A1A1A"/>
                <w:sz w:val="18"/>
                <w:szCs w:val="18"/>
              </w:rPr>
              <w:t xml:space="preserve">Tokens per call — v1 → v2</w:t>
            </w:r>
          </w:p>
        </w:tc>
        <w:tc>
          <w:tcPr>
            <w:tcW w:type="dxa" w:w="1600"/>
            <w:vAlign w:val="center"/>
          </w:tcPr>
          <w:p>
            <w:r>
              <w:rPr>
                <w:sz w:val="18"/>
              </w:rPr>
              <w:t>Gemini mean observation estimate: 82.37 → 63.42</w:t>
            </w:r>
          </w:p>
        </w:tc>
        <w:tc>
          <w:tcPr>
            <w:tcW w:type="dxa" w:w="3000"/>
            <w:vAlign w:val="center"/>
          </w:tcPr>
          <w:p>
            <w:pPr>
              <w:spacing w:before="40" w:after="40"/>
              <w:jc w:val="center"/>
            </w:pPr>
            <w:r>
              <w:rPr>
                <w:color w:val="1A1A1A"/>
                <w:sz w:val="18"/>
                <w:szCs w:val="18"/>
              </w:rPr>
              <w:t xml:space="preserve">Pass rate — v1 → v2, same model</w:t>
            </w:r>
          </w:p>
        </w:tc>
        <w:tc>
          <w:tcPr>
            <w:tcW w:type="dxa" w:w="1600"/>
            <w:vAlign w:val="center"/>
          </w:tcPr>
          <w:p>
            <w:r>
              <w:rPr>
                <w:sz w:val="18"/>
              </w:rPr>
              <w:t>Gemini: 33/60 → 20/60</w:t>
            </w:r>
          </w:p>
        </w:tc>
      </w:tr>
    </w:tbl>
    <w:p>
      <w:pPr>
        <w:spacing w:after="40"/>
      </w:pPr>
      <w:r>
        <w:rPr>
          <w:color w:val="595959"/>
          <w:sz w:val="16"/>
          <w:szCs w:val="16"/>
        </w:rPr>
        <w:t xml:space="preserve">Every member runs one live model, or the v1 pass — three models is the floor, N-1 for a team of N is the shape expected. Name YOURS. If you ran the v1 pass, write "v1 pass" and the model it sat on.</w:t>
      </w:r>
    </w:p>
    <w:p>
      <w:pPr>
        <w:spacing w:after="40"/>
      </w:pPr>
      <w:r>
        <w:rPr>
          <w:color w:val="595959"/>
          <w:sz w:val="16"/>
          <w:szCs w:val="16"/>
        </w:rPr>
        <w:t xml:space="preserve">The last row is D2(b): the descriptor rewrite you measured. Two numbers each, before and after, on ONE model. An empty row here means the rewrite was never measured.</w:t>
      </w:r>
    </w:p>
    <w:p>
      <w:pPr>
        <w:spacing w:before="170" w:after="20"/>
      </w:pPr>
      <w:r>
        <w:rPr>
          <w:b/>
          <w:bCs/>
          <w:color w:val="1F3864"/>
          <w:sz w:val="21"/>
          <w:szCs w:val="21"/>
        </w:rPr>
        <w:t xml:space="preserve">5 · Contribution</w:t>
      </w:r>
    </w:p>
    <w:p>
      <w:pPr>
        <w:spacing w:after="40"/>
      </w:pPr>
      <w:r>
        <w:rPr>
          <w:color w:val="595959"/>
          <w:sz w:val="16"/>
          <w:szCs w:val="16"/>
        </w:rPr>
        <w:t xml:space="preserve">Who owned what. This should match CONTRIBUTIONS.md and the commit history. It is not used to scale marks — the team receives the team score — but it is one of the two signals the non-contribution clause relies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000"/>
      </w:tblGrid>
      <w:tr>
        <w:trPr/>
        <w:tc>
          <w:tcPr>
            <w:tcW w:type="dxa" w:w="2800"/>
            <w:vAlign w:val="center"/>
          </w:tcPr>
          <w:p>
            <w:pPr>
              <w:spacing w:before="40" w:after="40"/>
            </w:pPr>
            <w:r>
              <w:rPr>
                <w:b/>
                <w:bCs/>
                <w:color w:val="1F3864"/>
                <w:sz w:val="18"/>
                <w:szCs w:val="17"/>
              </w:rPr>
              <w:t xml:space="preserve">Member</w:t>
            </w:r>
          </w:p>
        </w:tc>
        <w:tc>
          <w:tcPr>
            <w:tcW w:type="dxa" w:w="3400"/>
            <w:vAlign w:val="center"/>
          </w:tcPr>
          <w:p>
            <w:pPr>
              <w:spacing w:before="40" w:after="40"/>
              <w:jc w:val="center"/>
            </w:pPr>
            <w:r>
              <w:rPr>
                <w:b/>
                <w:bCs/>
                <w:color w:val="1F3864"/>
                <w:sz w:val="18"/>
                <w:szCs w:val="17"/>
              </w:rPr>
              <w:t xml:space="preserve">Owned</w:t>
            </w:r>
          </w:p>
        </w:tc>
        <w:tc>
          <w:tcPr>
            <w:tcW w:type="dxa" w:w="3000"/>
            <w:vAlign w:val="center"/>
          </w:tcPr>
          <w:p>
            <w:pPr>
              <w:spacing w:before="40" w:after="40"/>
              <w:jc w:val="center"/>
            </w:pPr>
            <w:r>
              <w:rPr>
                <w:b/>
                <w:bCs/>
                <w:color w:val="1F3864"/>
                <w:sz w:val="18"/>
                <w:szCs w:val="17"/>
              </w:rPr>
              <w:t xml:space="preserve">Also contributed to</w:t>
            </w:r>
          </w:p>
        </w:tc>
      </w:tr>
      <w:tr>
        <w:trPr/>
        <w:tc>
          <w:tcPr>
            <w:tcW w:type="dxa" w:w="2800"/>
            <w:vAlign w:val="center"/>
          </w:tcPr>
          <w:p>
            <w:r>
              <w:rPr>
                <w:sz w:val="18"/>
              </w:rPr>
              <w:t>Meng Sijia</w:t>
            </w:r>
          </w:p>
        </w:tc>
        <w:tc>
          <w:tcPr>
            <w:tcW w:type="dxa" w:w="3400"/>
            <w:vAlign w:val="center"/>
          </w:tcPr>
          <w:p>
            <w:r>
              <w:rPr>
                <w:sz w:val="18"/>
              </w:rPr>
              <w:t>Case contracts; harness review; Gemini v2 battery</w:t>
            </w:r>
          </w:p>
        </w:tc>
        <w:tc>
          <w:tcPr>
            <w:tcW w:type="dxa" w:w="3000"/>
            <w:vAlign w:val="center"/>
          </w:tcPr>
          <w:p>
            <w:r>
              <w:rPr>
                <w:sz w:val="18"/>
              </w:rPr>
              <w:t>Live judgement; scripted CLM-8933; report review</w:t>
            </w:r>
          </w:p>
        </w:tc>
      </w:tr>
      <w:tr>
        <w:trPr/>
        <w:tc>
          <w:tcPr>
            <w:tcW w:type="dxa" w:w="2800"/>
            <w:vAlign w:val="center"/>
          </w:tcPr>
          <w:p>
            <w:r>
              <w:rPr>
                <w:sz w:val="18"/>
              </w:rPr>
              <w:t>SHI SHUYI</w:t>
            </w:r>
          </w:p>
        </w:tc>
        <w:tc>
          <w:tcPr>
            <w:tcW w:type="dxa" w:w="3400"/>
            <w:vAlign w:val="center"/>
          </w:tcPr>
          <w:p>
            <w:r>
              <w:rPr>
                <w:sz w:val="18"/>
              </w:rPr>
              <w:t>Case contracts; loop/tool review; Qwen v2 battery; integration</w:t>
            </w:r>
          </w:p>
        </w:tc>
        <w:tc>
          <w:tcPr>
            <w:tcW w:type="dxa" w:w="3000"/>
            <w:vAlign w:val="center"/>
          </w:tcPr>
          <w:p>
            <w:r>
              <w:rPr>
                <w:sz w:val="18"/>
              </w:rPr>
              <w:t>Evidence interpretation; calibration; report review</w:t>
            </w:r>
          </w:p>
        </w:tc>
      </w:tr>
      <w:tr>
        <w:trPr/>
        <w:tc>
          <w:tcPr>
            <w:tcW w:type="dxa" w:w="2800"/>
            <w:vAlign w:val="center"/>
          </w:tcPr>
          <w:p>
            <w:r>
              <w:rPr>
                <w:sz w:val="18"/>
              </w:rPr>
              <w:t>Su Yang</w:t>
            </w:r>
          </w:p>
        </w:tc>
        <w:tc>
          <w:tcPr>
            <w:tcW w:type="dxa" w:w="3400"/>
            <w:vAlign w:val="center"/>
          </w:tcPr>
          <w:p>
            <w:r>
              <w:rPr>
                <w:sz w:val="18"/>
              </w:rPr>
              <w:t>Case contracts; cost/ledger review; Claude v2 battery</w:t>
            </w:r>
          </w:p>
        </w:tc>
        <w:tc>
          <w:tcPr>
            <w:tcW w:type="dxa" w:w="3000"/>
            <w:vAlign w:val="center"/>
          </w:tcPr>
          <w:p>
            <w:r>
              <w:rPr>
                <w:sz w:val="18"/>
              </w:rPr>
              <w:t>Live judgement; scripted CLM-8952; report review</w:t>
            </w:r>
          </w:p>
        </w:tc>
      </w:tr>
      <w:tr>
        <w:trPr/>
        <w:tc>
          <w:tcPr>
            <w:tcW w:type="dxa" w:w="2800"/>
            <w:vAlign w:val="center"/>
          </w:tcPr>
          <w:p>
            <w:r>
              <w:rPr>
                <w:sz w:val="18"/>
              </w:rPr>
              <w:t>Isha Kirti Ghia</w:t>
            </w:r>
          </w:p>
        </w:tc>
        <w:tc>
          <w:tcPr>
            <w:tcW w:type="dxa" w:w="3400"/>
            <w:vAlign w:val="center"/>
          </w:tcPr>
          <w:p>
            <w:r>
              <w:rPr>
                <w:sz w:val="18"/>
              </w:rPr>
              <w:t>Case contracts; dependency review; Llama v2 battery</w:t>
            </w:r>
          </w:p>
        </w:tc>
        <w:tc>
          <w:tcPr>
            <w:tcW w:type="dxa" w:w="3000"/>
            <w:vAlign w:val="center"/>
          </w:tcPr>
          <w:p>
            <w:r>
              <w:rPr>
                <w:sz w:val="18"/>
              </w:rPr>
              <w:t>Repair proposals; live/scripted judgement; report review</w:t>
            </w:r>
          </w:p>
        </w:tc>
      </w:tr>
      <w:tr>
        <w:trPr/>
        <w:tc>
          <w:tcPr>
            <w:tcW w:type="dxa" w:w="2800"/>
            <w:vAlign w:val="center"/>
          </w:tcPr>
          <w:p>
            <w:r>
              <w:rPr>
                <w:sz w:val="18"/>
              </w:rPr>
              <w:t>Sun Hanyu</w:t>
            </w:r>
          </w:p>
        </w:tc>
        <w:tc>
          <w:tcPr>
            <w:tcW w:type="dxa" w:w="3400"/>
            <w:vAlign w:val="center"/>
          </w:tcPr>
          <w:p>
            <w:r>
              <w:rPr>
                <w:sz w:val="18"/>
              </w:rPr>
              <w:t>Case contracts; negative/hostile-input review; DeepSeek v2 battery</w:t>
            </w:r>
          </w:p>
        </w:tc>
        <w:tc>
          <w:tcPr>
            <w:tcW w:type="dxa" w:w="3000"/>
            <w:vAlign w:val="center"/>
          </w:tcPr>
          <w:p>
            <w:r>
              <w:rPr>
                <w:sz w:val="18"/>
              </w:rPr>
              <w:t>Live/scripted judgement; report review</w:t>
            </w:r>
          </w:p>
        </w:tc>
      </w:tr>
      <w:tr>
        <w:trPr/>
        <w:tc>
          <w:tcPr>
            <w:tcW w:type="dxa" w:w="2800"/>
            <w:vAlign w:val="center"/>
          </w:tcPr>
          <w:p>
            <w:r>
              <w:rPr>
                <w:sz w:val="18"/>
              </w:rPr>
              <w:t>Zhang Jiayang</w:t>
            </w:r>
          </w:p>
        </w:tc>
        <w:tc>
          <w:tcPr>
            <w:tcW w:type="dxa" w:w="3400"/>
            <w:vAlign w:val="center"/>
          </w:tcPr>
          <w:p>
            <w:r>
              <w:rPr>
                <w:sz w:val="18"/>
              </w:rPr>
              <w:t>Case contracts; ACI/tool review; Gemini v1 control</w:t>
            </w:r>
          </w:p>
        </w:tc>
        <w:tc>
          <w:tcPr>
            <w:tcW w:type="dxa" w:w="3000"/>
            <w:vAlign w:val="center"/>
          </w:tcPr>
          <w:p>
            <w:r>
              <w:rPr>
                <w:sz w:val="18"/>
              </w:rPr>
              <w:t>Live/scripted judgement; report corrections</w:t>
            </w:r>
          </w:p>
        </w:tc>
      </w:tr>
      <w:tr>
        <w:trPr/>
        <w:tc>
          <w:tcPr>
            <w:tcW w:type="dxa" w:w="2800"/>
            <w:vAlign w:val="center"/>
          </w:tcPr>
          <w:p>
            <w:pPr>
              <w:spacing w:before="40" w:after="40"/>
            </w:pPr>
            <w:r>
              <w:rPr>
                <w:color w:val="1A1A1A"/>
                <w:sz w:val="18"/>
                <w:szCs w:val="18"/>
              </w:rPr>
              <w:t xml:space="preserve"/>
            </w:r>
          </w:p>
        </w:tc>
        <w:tc>
          <w:tcPr>
            <w:tcW w:type="dxa" w:w="3400"/>
            <w:vAlign w:val="center"/>
          </w:tcPr>
          <w:p>
            <w:pPr>
              <w:spacing w:before="40" w:after="40"/>
              <w:jc w:val="center"/>
            </w:pPr>
            <w:r>
              <w:rPr>
                <w:color w:val="1A1A1A"/>
                <w:sz w:val="18"/>
                <w:szCs w:val="18"/>
              </w:rPr>
              <w:t xml:space="preserve"/>
            </w:r>
          </w:p>
        </w:tc>
        <w:tc>
          <w:tcPr>
            <w:tcW w:type="dxa" w:w="3000"/>
            <w:vAlign w:val="center"/>
          </w:tcPr>
          <w:p>
            <w:pPr>
              <w:spacing w:before="40" w:after="40"/>
              <w:jc w:val="center"/>
            </w:pPr>
            <w:r>
              <w:rPr>
                <w:color w:val="1A1A1A"/>
                <w:sz w:val="18"/>
                <w:szCs w:val="18"/>
              </w:rPr>
              <w:t xml:space="preserve"/>
            </w:r>
          </w:p>
        </w:tc>
      </w:tr>
    </w:tbl>
    <w:p>
      <w:pPr>
        <w:spacing w:after="40"/>
      </w:pPr>
      <w:r>
        <w:rPr>
          <w:color w:val="595959"/>
          <w:sz w:val="16"/>
          <w:szCs w:val="16"/>
        </w:rPr>
        <w:t xml:space="preserve">Peer rating is separate from this sheet and comes AFTER it: NTU's Group Project peer-review function opens 13 September and closes Wednesday 16 September, 23:59 SGT. Each member completes it individually in NTULearn. It is a participation requirement.</w:t>
      </w:r>
    </w:p>
    <w:p>
      <w:pPr>
        <w:spacing w:before="170" w:after="20"/>
      </w:pPr>
      <w:r>
        <w:rPr>
          <w:b/>
          <w:bCs/>
          <w:color w:val="1F3864"/>
          <w:sz w:val="21"/>
          <w:szCs w:val="21"/>
        </w:rPr>
        <w:t xml:space="preserve">6 · Declaration</w:t>
      </w:r>
    </w:p>
    <w:p>
      <w:pPr>
        <w:spacing w:after="40"/>
      </w:pPr>
      <w:r>
        <w:rPr>
          <w:color w:val="595959"/>
          <w:sz w:val="16"/>
          <w:szCs w:val="16"/>
        </w:rPr>
        <w:t xml:space="preserve">Every member ticks every box. One sheet, signed by the team.</w:t>
      </w:r>
    </w:p>
    <w:p>
      <w:pPr>
        <w:spacing w:after="30"/>
      </w:pPr>
      <w:r>
        <w:rPr>
          <w:b/>
          <w:bCs/>
          <w:color w:val="1F3864"/>
          <w:sz w:val="19"/>
          <w:szCs w:val="19"/>
        </w:rPr>
        <w:t xml:space="preserve">[    ]     </w:t>
      </w:r>
      <w:r>
        <w:rPr>
          <w:color w:val="1A1A1A"/>
          <w:sz w:val="18"/>
          <w:szCs w:val="18"/>
        </w:rPr>
        <w:t xml:space="preserve">Every member of this team can explain every block of code we submit — what it does, and why it is there. (Block, not line: this is about function, not syntax.)</w:t>
      </w:r>
    </w:p>
    <w:p>
      <w:pPr>
        <w:spacing w:after="30"/>
      </w:pPr>
      <w:r>
        <w:rPr>
          <w:b/>
          <w:bCs/>
          <w:color w:val="1F3864"/>
          <w:sz w:val="19"/>
          <w:szCs w:val="19"/>
        </w:rPr>
        <w:t xml:space="preserve">[    ]     </w:t>
      </w:r>
      <w:r>
        <w:rPr>
          <w:color w:val="1A1A1A"/>
          <w:sz w:val="18"/>
          <w:szCs w:val="18"/>
        </w:rPr>
        <w:t xml:space="preserve">The pass rates, token counts, turn counts and costs we report are measurements we ran ourselves. None of them were supplied by an AI assistant.</w:t>
      </w:r>
    </w:p>
    <w:p>
      <w:pPr>
        <w:spacing w:after="30"/>
      </w:pPr>
      <w:r>
        <w:rPr>
          <w:b/>
          <w:bCs/>
          <w:color w:val="1F3864"/>
          <w:sz w:val="19"/>
          <w:szCs w:val="19"/>
        </w:rPr>
        <w:t xml:space="preserve">[    ]     </w:t>
      </w:r>
      <w:r>
        <w:rPr>
          <w:color w:val="1A1A1A"/>
          <w:sz w:val="18"/>
          <w:szCs w:val="18"/>
        </w:rPr>
        <w:t xml:space="preserve">Our submitted harness runs end to end on the scripted backend, with no key and no network.</w:t>
      </w:r>
    </w:p>
    <w:p>
      <w:pPr>
        <w:spacing w:after="30"/>
      </w:pPr>
      <w:r>
        <w:rPr>
          <w:b/>
          <w:bCs/>
          <w:color w:val="1F3864"/>
          <w:sz w:val="19"/>
          <w:szCs w:val="19"/>
        </w:rPr>
        <w:t xml:space="preserve">[    ]     </w:t>
      </w:r>
      <w:r>
        <w:rPr>
          <w:color w:val="1A1A1A"/>
          <w:sz w:val="18"/>
          <w:szCs w:val="18"/>
        </w:rPr>
        <w:t xml:space="preserve">We kept every fixture record we were given, unedited, and every case in our evaluation set carries a label. check_my_data.py passes on our data.</w:t>
      </w:r>
    </w:p>
    <w:p>
      <w:pPr>
        <w:spacing w:after="30"/>
      </w:pPr>
      <w:r>
        <w:rPr>
          <w:b/>
          <w:bCs/>
          <w:color w:val="1F3864"/>
          <w:sz w:val="19"/>
          <w:szCs w:val="19"/>
        </w:rPr>
        <w:t xml:space="preserve">[    ]     </w:t>
      </w:r>
      <w:r>
        <w:rPr>
          <w:color w:val="1A1A1A"/>
          <w:sz w:val="18"/>
          <w:szCs w:val="18"/>
        </w:rPr>
        <w:t xml:space="preserve">No part of this submission is drawn from any member's End-of-Course Project, and no part of it will be submitted as part of one.</w:t>
      </w:r>
    </w:p>
    <w:p>
      <w:pPr>
        <w:spacing w:after="30"/>
      </w:pPr>
      <w:r>
        <w:rPr>
          <w:b/>
          <w:bCs/>
          <w:color w:val="1F3864"/>
          <w:sz w:val="19"/>
          <w:szCs w:val="19"/>
        </w:rPr>
        <w:t xml:space="preserve">[    ]     </w:t>
      </w:r>
      <w:r>
        <w:rPr>
          <w:color w:val="1A1A1A"/>
          <w:sz w:val="18"/>
          <w:szCs w:val="18"/>
        </w:rPr>
        <w:t xml:space="preserve">This is our own work, and all sources, tools and assistance are attributed.</w:t>
      </w:r>
    </w:p>
    <w:p>
      <w:pPr>
        <w:spacing w:before="60" w:after="40"/>
      </w:pPr>
      <w:r>
        <w:rPr>
          <w:b/>
          <w:bCs/>
          <w:color w:val="1F3864"/>
          <w:sz w:val="19"/>
          <w:szCs w:val="19"/>
        </w:rPr>
        <w:t xml:space="preserve">Signed on behalf of the team: </w:t>
      </w:r>
      <w:r>
        <w:rPr>
          <w:sz w:val="19"/>
          <w:szCs w:val="19"/>
        </w:rPr>
        <w:t xml:space="preserve">______________________________          </w:t>
      </w:r>
      <w:r>
        <w:rPr>
          <w:b/>
          <w:bCs/>
          <w:color w:val="1F3864"/>
          <w:sz w:val="19"/>
          <w:szCs w:val="19"/>
        </w:rPr>
        <w:t xml:space="preserve">Date: </w:t>
      </w:r>
      <w:r>
        <w:rPr>
          <w:sz w:val="19"/>
          <w:szCs w:val="19"/>
        </w:rPr>
        <w:t xml:space="preserve">________________</w:t>
      </w:r>
    </w:p>
    <w:p>
      <w:pPr>
        <w:spacing w:before="170" w:after="40"/>
      </w:pPr>
      <w:r>
        <w:rPr>
          <w:b/>
          <w:bCs/>
          <w:color w:val="1F3864"/>
          <w:sz w:val="20"/>
          <w:szCs w:val="20"/>
        </w:rPr>
        <w:t xml:space="preserve">How this is used</w:t>
      </w:r>
    </w:p>
    <w:p>
      <w:pPr>
        <w:spacing w:after="40"/>
      </w:pPr>
      <w:r>
        <w:rPr>
          <w:color w:val="1A1A1A"/>
          <w:sz w:val="18"/>
          <w:szCs w:val="18"/>
        </w:rPr>
        <w:t xml:space="preserve">This sheet is not marked and cannot lower your grade. It is read alongside your submission for two reasons. First, how a team reads its own work is usually the fastest route to feedback that is actually useful. Second, where a team's self-rating and the marking diverge sharply, that gap gets an explicit comment — which is where the most useful feedback tends to sit.</w:t>
      </w:r>
    </w:p>
    <w:p>
      <w:r>
        <w:rPr>
          <w:b/>
        </w:rPr>
        <w:t>Member live-model results</w:t>
      </w:r>
    </w:p>
    <w:tbl>
      <w:tblPr>
        <w:tblW w:type="auto" w:w="0"/>
        <w:tblLook w:firstColumn="1" w:firstRow="1" w:lastColumn="0" w:lastRow="0" w:noHBand="0" w:noVBand="1" w:val="04A0"/>
      </w:tblPr>
      <w:tblGrid>
        <w:gridCol w:w="3009"/>
        <w:gridCol w:w="3009"/>
        <w:gridCol w:w="3009"/>
      </w:tblGrid>
      <w:tr>
        <w:tc>
          <w:tcPr>
            <w:tcW w:type="dxa" w:w="3009"/>
          </w:tcPr>
          <w:p>
            <w:r>
              <w:t>Member</w:t>
            </w:r>
          </w:p>
        </w:tc>
        <w:tc>
          <w:tcPr>
            <w:tcW w:type="dxa" w:w="3009"/>
          </w:tcPr>
          <w:p>
            <w:r>
              <w:t>Selected model / version</w:t>
            </w:r>
          </w:p>
        </w:tc>
        <w:tc>
          <w:tcPr>
            <w:tcW w:type="dxa" w:w="3009"/>
          </w:tcPr>
          <w:p>
            <w:r>
              <w:t>Strict passes</w:t>
            </w:r>
          </w:p>
        </w:tc>
      </w:tr>
      <w:tr>
        <w:tc>
          <w:tcPr>
            <w:tcW w:type="dxa" w:w="3009"/>
          </w:tcPr>
          <w:p>
            <w:r>
              <w:t>Meng Sijia</w:t>
            </w:r>
          </w:p>
        </w:tc>
        <w:tc>
          <w:tcPr>
            <w:tcW w:type="dxa" w:w="3009"/>
          </w:tcPr>
          <w:p>
            <w:r>
              <w:t>Gemini 2.5 Flash Lite v2</w:t>
            </w:r>
          </w:p>
        </w:tc>
        <w:tc>
          <w:tcPr>
            <w:tcW w:type="dxa" w:w="3009"/>
          </w:tcPr>
          <w:p>
            <w:r>
              <w:t>20/60</w:t>
            </w:r>
          </w:p>
        </w:tc>
      </w:tr>
      <w:tr>
        <w:tc>
          <w:tcPr>
            <w:tcW w:type="dxa" w:w="3009"/>
          </w:tcPr>
          <w:p>
            <w:r>
              <w:t>SHI SHUYI</w:t>
            </w:r>
          </w:p>
        </w:tc>
        <w:tc>
          <w:tcPr>
            <w:tcW w:type="dxa" w:w="3009"/>
          </w:tcPr>
          <w:p>
            <w:r>
              <w:t>Qwen3 30B A3B Instruct v2</w:t>
            </w:r>
          </w:p>
        </w:tc>
        <w:tc>
          <w:tcPr>
            <w:tcW w:type="dxa" w:w="3009"/>
          </w:tcPr>
          <w:p>
            <w:r>
              <w:t>33/60</w:t>
            </w:r>
          </w:p>
        </w:tc>
      </w:tr>
      <w:tr>
        <w:tc>
          <w:tcPr>
            <w:tcW w:type="dxa" w:w="3009"/>
          </w:tcPr>
          <w:p>
            <w:r>
              <w:t>Su Yang</w:t>
            </w:r>
          </w:p>
        </w:tc>
        <w:tc>
          <w:tcPr>
            <w:tcW w:type="dxa" w:w="3009"/>
          </w:tcPr>
          <w:p>
            <w:r>
              <w:t>Claude Haiku 4.5 v2; complete rerun</w:t>
            </w:r>
          </w:p>
        </w:tc>
        <w:tc>
          <w:tcPr>
            <w:tcW w:type="dxa" w:w="3009"/>
          </w:tcPr>
          <w:p>
            <w:r>
              <w:t>35/60</w:t>
            </w:r>
          </w:p>
        </w:tc>
      </w:tr>
      <w:tr>
        <w:tc>
          <w:tcPr>
            <w:tcW w:type="dxa" w:w="3009"/>
          </w:tcPr>
          <w:p>
            <w:r>
              <w:t>Isha Kirti Ghia</w:t>
            </w:r>
          </w:p>
        </w:tc>
        <w:tc>
          <w:tcPr>
            <w:tcW w:type="dxa" w:w="3009"/>
          </w:tcPr>
          <w:p>
            <w:r>
              <w:t>Llama 4 Maverick v2</w:t>
            </w:r>
          </w:p>
        </w:tc>
        <w:tc>
          <w:tcPr>
            <w:tcW w:type="dxa" w:w="3009"/>
          </w:tcPr>
          <w:p>
            <w:r>
              <w:t>53/60</w:t>
            </w:r>
          </w:p>
        </w:tc>
      </w:tr>
      <w:tr>
        <w:tc>
          <w:tcPr>
            <w:tcW w:type="dxa" w:w="3009"/>
          </w:tcPr>
          <w:p>
            <w:r>
              <w:t>Sun Hanyu</w:t>
            </w:r>
          </w:p>
        </w:tc>
        <w:tc>
          <w:tcPr>
            <w:tcW w:type="dxa" w:w="3009"/>
          </w:tcPr>
          <w:p>
            <w:r>
              <w:t>DeepSeek V3.2 v2</w:t>
            </w:r>
          </w:p>
        </w:tc>
        <w:tc>
          <w:tcPr>
            <w:tcW w:type="dxa" w:w="3009"/>
          </w:tcPr>
          <w:p>
            <w:r>
              <w:t>55/60</w:t>
            </w:r>
          </w:p>
        </w:tc>
      </w:tr>
      <w:tr>
        <w:tc>
          <w:tcPr>
            <w:tcW w:type="dxa" w:w="3009"/>
          </w:tcPr>
          <w:p>
            <w:r>
              <w:t>Zhang Jiayang</w:t>
            </w:r>
          </w:p>
        </w:tc>
        <w:tc>
          <w:tcPr>
            <w:tcW w:type="dxa" w:w="3009"/>
          </w:tcPr>
          <w:p>
            <w:r>
              <w:t>Gemini 2.5 Flash Lite v1 pass</w:t>
            </w:r>
          </w:p>
        </w:tc>
        <w:tc>
          <w:tcPr>
            <w:tcW w:type="dxa" w:w="3009"/>
          </w:tcPr>
          <w:p>
            <w:r>
              <w:t>33/60</w:t>
            </w:r>
          </w:p>
        </w:tc>
      </w:tr>
    </w:tbl>
    <w:sectPr>
      <w:headerReference w:type="default" r:id="rId7"/>
      <w:footerReference w:type="default" r:id="rId8"/>
      <w:headerReference w:type="first" r:id="rId10"/>
      <w:headerReference w:type="even" r:id="rId11"/>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DA" w:sz="6"/>
      </w:pBdr>
      <w:spacing w:before="40"/>
    </w:pPr>
    <w:r>
      <w:rPr>
        <w:color w:val="595959"/>
        <w:sz w:val="15"/>
        <w:szCs w:val="15"/>
      </w:rPr>
      <w:t xml:space="preserve">Nanyang Technological University · MSc Enterprise AI · T1 AY2026–27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A" w:sz="6"/>
      </w:pBdr>
      <w:spacing w:after="60"/>
    </w:pPr>
    <w:r>
      <w:rPr>
        <w:b/>
        <w:bCs/>
        <w:color w:val="1F3864"/>
        <w:sz w:val="15"/>
        <w:szCs w:val="15"/>
      </w:rPr>
      <w:t xml:space="preserve">PE6201 · EMERGING AI TECHNOLOGIES</w:t>
    </w:r>
    <w:r>
      <w:ptab w:alignment="right" w:relativeTo="margin" w:leader="none"/>
    </w:r>
    <w:r>
      <w:rPr>
        <w:color w:val="595959"/>
        <w:sz w:val="15"/>
        <w:szCs w:val="15"/>
      </w:rPr>
      <w:t>A2 · Applied AI System · Team Self-Appraisal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2026-08-10T07:13:44.004Z</dcterms:created>
  <dcterms:modified xsi:type="dcterms:W3CDTF">2026-08-10T07:13:44.004Z</dcterms:modified>
</cp:coreProperties>
</file>

<file path=docProps/custom.xml><?xml version="1.0" encoding="utf-8"?>
<Properties xmlns="http://schemas.openxmlformats.org/officeDocument/2006/custom-properties" xmlns:vt="http://schemas.openxmlformats.org/officeDocument/2006/docPropsVTypes"/>
</file>