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2123"/>
          <w:sz w:val="32"/>
          <w:szCs w:val="32"/>
        </w:rPr>
        <w:t xml:space="preserve">Acuerdo de Referido — CasaHost</w:t>
      </w:r>
    </w:p>
    <w:p>
      <w:pPr>
        <w:pBdr>
          <w:bottom w:val="single" w:color="D9E6E4" w:sz="8" w:space="8"/>
        </w:pBdr>
        <w:spacing w:after="200"/>
      </w:pPr>
      <w:r>
        <w:rPr>
          <w:b/>
          <w:bCs/>
          <w:color w:val="0E9AA0"/>
          <w:sz w:val="20"/>
          <w:szCs w:val="20"/>
        </w:rPr>
        <w:t xml:space="preserve">Programa de alianzas con agentes inmobiliarios (realtors)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Este acuerdo establece los términos para que un agente inmobiliario (el “Referidor”) recomiende dueños de propiedades a CasaHost (el “Gestor”), a cambio de una comisión por cada referido que contrate el servicio de administración.</w:t>
      </w:r>
    </w:p>
    <w:p>
      <w:pPr>
        <w:spacing w:after="70" w:before="180"/>
      </w:pPr>
      <w:r>
        <w:rPr>
          <w:b/>
          <w:bCs/>
          <w:color w:val="0E9AA0"/>
          <w:sz w:val="22"/>
          <w:szCs w:val="22"/>
        </w:rPr>
        <w:t xml:space="preserve">1. Las partes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EL GESTOR: CasaHost, operado por </w:t>
      </w:r>
      <w:r>
        <w:rPr>
          <w:color w:val="102123"/>
          <w:sz w:val="21"/>
          <w:szCs w:val="21"/>
        </w:rPr>
        <w:t xml:space="preserve">  ______________________________  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(LLC / persona).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EL REFERIDOR: </w:t>
      </w:r>
      <w:r>
        <w:rPr>
          <w:color w:val="102123"/>
          <w:sz w:val="21"/>
          <w:szCs w:val="21"/>
        </w:rPr>
        <w:t xml:space="preserve">  ______________________________  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 ·  Contacto: </w:t>
      </w:r>
      <w:r>
        <w:rPr>
          <w:color w:val="102123"/>
          <w:sz w:val="21"/>
          <w:szCs w:val="21"/>
        </w:rPr>
        <w:t xml:space="preserve">  ______________________________  </w:t>
      </w:r>
    </w:p>
    <w:p>
      <w:pPr>
        <w:spacing w:after="70" w:before="180"/>
      </w:pPr>
      <w:r>
        <w:rPr>
          <w:b/>
          <w:bCs/>
          <w:color w:val="0E9AA0"/>
          <w:sz w:val="22"/>
          <w:szCs w:val="22"/>
        </w:rPr>
        <w:t xml:space="preserve">2. Qué se considera un referido válido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Un dueño presentado por el Referidor —por escrito (email, WhatsApp o correo)— que </w:t>
      </w:r>
      <w:r>
        <w:rPr>
          <w:b/>
          <w:bCs/>
          <w:i w:val="false"/>
          <w:iCs w:val="false"/>
          <w:color w:val="102123"/>
          <w:sz w:val="21"/>
          <w:szCs w:val="21"/>
        </w:rPr>
        <w:t xml:space="preserve">firme un contrato de administración con CasaHost dentro de los 90 días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siguientes a la presentación, y que no fuera ya cliente o prospecto activo del Gestor.</w:t>
      </w:r>
    </w:p>
    <w:p>
      <w:pPr>
        <w:spacing w:after="70" w:before="180"/>
      </w:pPr>
      <w:r>
        <w:rPr>
          <w:b/>
          <w:bCs/>
          <w:color w:val="0E9AA0"/>
          <w:sz w:val="22"/>
          <w:szCs w:val="22"/>
        </w:rPr>
        <w:t xml:space="preserve">3. Comisión del referido (elige una opción)</w:t>
      </w:r>
    </w:p>
    <w:p>
      <w:pPr>
        <w:spacing w:after="60"/>
      </w:pPr>
      <w:r>
        <w:rPr>
          <w:b/>
          <w:bCs/>
          <w:i w:val="false"/>
          <w:iCs w:val="false"/>
          <w:color w:val="102123"/>
          <w:sz w:val="21"/>
          <w:szCs w:val="21"/>
        </w:rPr>
        <w:t xml:space="preserve">☐  Opción A — Recurrente: 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el Referidor recibe el </w:t>
      </w:r>
      <w:r>
        <w:rPr>
          <w:b/>
          <w:bCs/>
          <w:i w:val="false"/>
          <w:iCs w:val="false"/>
          <w:color w:val="102123"/>
          <w:sz w:val="21"/>
          <w:szCs w:val="21"/>
        </w:rPr>
        <w:t xml:space="preserve">10% de la comisión mensual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que CasaHost cobre por esa propiedad, durante </w:t>
      </w:r>
      <w:r>
        <w:rPr>
          <w:b/>
          <w:bCs/>
          <w:i w:val="false"/>
          <w:iCs w:val="false"/>
          <w:color w:val="102123"/>
          <w:sz w:val="21"/>
          <w:szCs w:val="21"/>
        </w:rPr>
        <w:t xml:space="preserve">12 meses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desde la primera reserva pagada.</w:t>
      </w:r>
    </w:p>
    <w:p>
      <w:pPr>
        <w:spacing w:after="100"/>
      </w:pPr>
      <w:r>
        <w:rPr>
          <w:b/>
          <w:bCs/>
          <w:i w:val="false"/>
          <w:iCs w:val="false"/>
          <w:color w:val="102123"/>
          <w:sz w:val="21"/>
          <w:szCs w:val="21"/>
        </w:rPr>
        <w:t xml:space="preserve">☐  Opción B — Pago único: 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el Referidor recibe un pago único de $</w:t>
      </w:r>
      <w:r>
        <w:rPr>
          <w:color w:val="102123"/>
          <w:sz w:val="21"/>
          <w:szCs w:val="21"/>
        </w:rPr>
        <w:t xml:space="preserve">  ______________________________  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(sugerido $250–$400) por cada referido que firme.</w:t>
      </w:r>
    </w:p>
    <w:p>
      <w:pPr>
        <w:spacing w:after="70" w:before="180"/>
      </w:pPr>
      <w:r>
        <w:rPr>
          <w:b/>
          <w:bCs/>
          <w:color w:val="0E9AA0"/>
          <w:sz w:val="22"/>
          <w:szCs w:val="22"/>
        </w:rPr>
        <w:t xml:space="preserve">4. Pago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Los pagos se realizan por transferencia dentro de los primeros </w:t>
      </w:r>
      <w:r>
        <w:rPr>
          <w:b/>
          <w:bCs/>
          <w:i w:val="false"/>
          <w:iCs w:val="false"/>
          <w:color w:val="102123"/>
          <w:sz w:val="21"/>
          <w:szCs w:val="21"/>
        </w:rPr>
        <w:t xml:space="preserve">10 días de cada mes</w:t>
      </w: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 (Opción A) o dentro de los 15 días de la firma del cliente (Opción B). El Gestor entregará un detalle claro de lo pagado.</w:t>
      </w:r>
    </w:p>
    <w:p>
      <w:pPr>
        <w:spacing w:after="70" w:before="180"/>
      </w:pPr>
      <w:r>
        <w:rPr>
          <w:b/>
          <w:bCs/>
          <w:color w:val="0E9AA0"/>
          <w:sz w:val="22"/>
          <w:szCs w:val="22"/>
        </w:rPr>
        <w:t xml:space="preserve">5. Condiciones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• No exclusivo: ambas partes pueden trabajar con otros. • El Referidor no representa ni obliga al Gestor. • El pago aplica solo mientras el cliente referido siga activo (Opción A). • Cualquiera puede terminar este acuerdo por escrito con 15 días de aviso, respetando los referidos ya cerrados.</w:t>
      </w:r>
    </w:p>
    <w:p>
      <w:pPr>
        <w:spacing w:after="70" w:before="180"/>
      </w:pPr>
      <w:r>
        <w:rPr>
          <w:b/>
          <w:bCs/>
          <w:color w:val="0E9AA0"/>
          <w:sz w:val="22"/>
          <w:szCs w:val="22"/>
        </w:rPr>
        <w:t xml:space="preserve">6. Vigencia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Válido desde la fecha de firma y renovable de forma automática, salvo aviso en contrario.</w:t>
      </w:r>
    </w:p>
    <w:p>
      <w:pPr>
        <w:spacing w:after="220"/>
      </w:pPr>
      <w:r>
        <w:rPr>
          <w:b/>
          <w:bCs/>
          <w:i w:val="false"/>
          <w:iCs w:val="false"/>
          <w:color w:val="102123"/>
          <w:sz w:val="21"/>
          <w:szCs w:val="21"/>
        </w:rPr>
        <w:t xml:space="preserve">Leído y de acuerdo, firman: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____________________________          ____________________________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C6B6C"/>
          <w:sz w:val="18"/>
          <w:szCs w:val="18"/>
        </w:rPr>
        <w:t xml:space="preserve">EL GESTOR (CasaHost)                              EL REFERIDOR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02123"/>
          <w:sz w:val="21"/>
          <w:szCs w:val="21"/>
        </w:rPr>
        <w:t xml:space="preserve">Fecha: ______________</w:t>
      </w:r>
    </w:p>
    <w:p>
      <w:pPr>
        <w:spacing w:after="100"/>
      </w:pPr>
      <w:r>
        <w:rPr>
          <w:b w:val="false"/>
          <w:bCs w:val="false"/>
          <w:i/>
          <w:iCs/>
          <w:color w:val="5C6B6C"/>
          <w:sz w:val="16"/>
          <w:szCs w:val="16"/>
        </w:rPr>
        <w:t xml:space="preserve">Nota: modelo orientativo. El Referidor con licencia inmobiliaria debe confirmar con su broker que puede recibir este tipo de referral fee. No es asesoría legal.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2026-08-01T23:53:03.413Z</dcterms:created>
  <dcterms:modified xsi:type="dcterms:W3CDTF">2026-08-01T23:53:03.413Z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