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968713" cy="9971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713" cy="99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b w:val="1"/>
          <w:sz w:val="72"/>
          <w:szCs w:val="72"/>
        </w:rPr>
      </w:pPr>
      <w:bookmarkStart w:colFirst="0" w:colLast="0" w:name="_kgvd8msccwq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</w:rPr>
        <w:drawing>
          <wp:inline distB="114300" distT="114300" distL="114300" distR="114300">
            <wp:extent cx="2916075" cy="18666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530" l="0" r="0" t="12534"/>
                    <a:stretch>
                      <a:fillRect/>
                    </a:stretch>
                  </pic:blipFill>
                  <pic:spPr>
                    <a:xfrm>
                      <a:off x="0" y="0"/>
                      <a:ext cx="2916075" cy="186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jc w:val="center"/>
        <w:rPr>
          <w:rFonts w:ascii="Montserrat" w:cs="Montserrat" w:eastAsia="Montserrat" w:hAnsi="Montserrat"/>
          <w:b w:val="1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  <w:rtl w:val="0"/>
        </w:rPr>
        <w:t xml:space="preserve">Test Summary Report</w:t>
      </w:r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60" w:before="240" w:lineRule="auto"/>
        <w:jc w:val="center"/>
        <w:rPr>
          <w:rFonts w:ascii="Montserrat" w:cs="Montserrat" w:eastAsia="Montserrat" w:hAnsi="Montserrat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225"/>
        <w:tblGridChange w:id="0">
          <w:tblGrid>
            <w:gridCol w:w="2745"/>
            <w:gridCol w:w="62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C02_TSR_1.0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06/01/2025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 Gallo, A. De Filippo, G. Montella, M. Zurolo, B. Colella, A. Ceruso, V. Vernellati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L. Todisco, C. Venditto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Storia delle revisioni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515"/>
        <w:gridCol w:w="2970"/>
        <w:gridCol w:w="2220"/>
        <w:tblGridChange w:id="0">
          <w:tblGrid>
            <w:gridCol w:w="2295"/>
            <w:gridCol w:w="1515"/>
            <w:gridCol w:w="2970"/>
            <w:gridCol w:w="22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06/01/2025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Mario Zurolo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9514a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Membri del team</w:t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1920"/>
        <w:gridCol w:w="4050"/>
        <w:tblGridChange w:id="0">
          <w:tblGrid>
            <w:gridCol w:w="3030"/>
            <w:gridCol w:w="1920"/>
            <w:gridCol w:w="40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0" w:val="single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l.todisco4@studenti.unisa.it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10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c.venditto@studenti.unisa.it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Biagio Gallo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b.gallo9@studenti.unisa.it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Geraldine Montella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g.montella19@studenti.unisa.it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Alessia De Filippo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a.defilippo31@studenti.unisa.it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Mario Zurolo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m.zurolo3@studenti.unisa.it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Vito Vernellati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v.vernellati@studenti.unisa.it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Antonio Ceruso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a.ceruso9@studenti.unisa.it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Benedetta Colella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b.colella@studenti.unisa.it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ykupdbzip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geulyxn9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Overview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zi2sq97q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Riferimenti ad altri documenti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0tsq5lna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Unit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vyp9godc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Test di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spacing w:after="80" w:before="200" w:lineRule="auto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lanea1tl6ci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ok88pjtklm9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rvbm3gs9m4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mzuucycxu32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61wp4pk6fd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jm9fljpizdl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fatx2pwtn4r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8aab0zrs99j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b w:val="1"/>
          <w:color w:val="38761d"/>
          <w:sz w:val="46"/>
          <w:szCs w:val="46"/>
        </w:rPr>
      </w:pPr>
      <w:bookmarkStart w:colFirst="0" w:colLast="0" w:name="_dvesu2s7fo7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oykupdbzips5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60"/>
          <w:szCs w:val="60"/>
          <w:rtl w:val="0"/>
        </w:rPr>
        <w:t xml:space="preserve">1 - </w:t>
      </w: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Introduzione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Bridge è una piattaforma digitale che nasce con lo scopo di promuovere l'accoglienza e l'integrazione di rifugiati e migranti in Italia, coinvolgendo attivamente i cittadini e i volontari. La piattaforma facilita la gestione di risorse come alloggi e corsi di formazione, e utilizza un sistema di requirement system basato sull'intelligenza artificiale per ottimizzare l'assegnazione degli alloggi e delle opportunità lavorative. Il rifugiato e il volontario potranno comunicare tramite la piattaforma con un sistema di live chat. Inoltre, il rifugiato potrà ricevere supporto immediato </w:t>
        <w:tab/>
        <w:t xml:space="preserve">mediante un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8761d"/>
          <w:sz w:val="34"/>
          <w:szCs w:val="34"/>
        </w:rPr>
      </w:pPr>
      <w:bookmarkStart w:colFirst="0" w:colLast="0" w:name="_qggeulyxn914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34"/>
          <w:szCs w:val="34"/>
          <w:rtl w:val="0"/>
        </w:rPr>
        <w:t xml:space="preserve">1.1 - </w:t>
      </w:r>
      <w:r w:rsidDel="00000000" w:rsidR="00000000" w:rsidRPr="00000000">
        <w:rPr>
          <w:rFonts w:ascii="Montserrat" w:cs="Montserrat" w:eastAsia="Montserrat" w:hAnsi="Montserrat"/>
          <w:color w:val="38761d"/>
          <w:sz w:val="34"/>
          <w:szCs w:val="34"/>
          <w:rtl w:val="0"/>
        </w:rPr>
        <w:t xml:space="preserve">Overview del documento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Il seguente documento ha l’obiettivo di fornire un report circa l’esecuzione dei test del progetto Bridge.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8761d"/>
          <w:sz w:val="34"/>
          <w:szCs w:val="34"/>
        </w:rPr>
      </w:pPr>
      <w:bookmarkStart w:colFirst="0" w:colLast="0" w:name="_gjzi2sq97qe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34"/>
          <w:szCs w:val="34"/>
          <w:rtl w:val="0"/>
        </w:rPr>
        <w:t xml:space="preserve">1.2 - </w:t>
      </w:r>
      <w:r w:rsidDel="00000000" w:rsidR="00000000" w:rsidRPr="00000000">
        <w:rPr>
          <w:rFonts w:ascii="Montserrat" w:cs="Montserrat" w:eastAsia="Montserrat" w:hAnsi="Montserrat"/>
          <w:color w:val="38761d"/>
          <w:sz w:val="34"/>
          <w:szCs w:val="34"/>
          <w:rtl w:val="0"/>
        </w:rPr>
        <w:t xml:space="preserve">Riferimenti ad altri documenti</w:t>
      </w:r>
    </w:p>
    <w:p w:rsidR="00000000" w:rsidDel="00000000" w:rsidP="00000000" w:rsidRDefault="00000000" w:rsidRPr="00000000" w14:paraId="00000061">
      <w:pPr>
        <w:spacing w:after="240" w:before="240" w:lineRule="auto"/>
        <w:ind w:left="10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Test Plan (TP)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nel test plan sono stati specificati i test frame del category partition per l’esecuzione dei test da cui emerge il report.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697f8c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Test Case Specification (TCS)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nel TCS sono specificati i risultati dei test forniti dall’oracolo.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e90tsq5lna8u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60"/>
          <w:szCs w:val="60"/>
          <w:rtl w:val="0"/>
        </w:rPr>
        <w:t xml:space="preserve">2 - </w:t>
      </w: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Unit Test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 test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 unità sono stati scritti utilizzando le librerie JUnit e Mockito. Mockito dà la possibilità di creare oggetti fittizi, “Mock”, che simulano il comportamento di oggetti reali all’interno del codice. Ogni membro del team crea i propri test, una volta approvati da JUnit, effettua il push sul proprio branch di testing e crea, successivamente, la pull request. Tramite quest’ultima, i PM hanno modo di supervisionare le request ed accettarle,  in caso di esito positivo. In caso di problemi è merito del Team Member risolverli.  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bsvyp9godca3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60"/>
          <w:szCs w:val="60"/>
          <w:rtl w:val="0"/>
        </w:rPr>
        <w:t xml:space="preserve">3 - </w:t>
      </w: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Test di Sistema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Esecuzione 1: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465"/>
        <w:gridCol w:w="2625"/>
        <w:tblGridChange w:id="0">
          <w:tblGrid>
            <w:gridCol w:w="2790"/>
            <w:gridCol w:w="3465"/>
            <w:gridCol w:w="26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Esecuzione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Test non passati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Test passati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Esecuzione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Selenium è uno dei framework più diffusi per l'automazione dei test delle applicazioni web. Permette di simulare interazioni con il browser, come clic, input nei campi di testo, navigazione tra le pagine e molto altro. Grazie alla sua flessibilità e alla possibilità di integrarsi con diversi browser e ambienti, Selenium è ideale per il testing funzionale e di sistema.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Nel nostro progetto, abbiamo utilizzato Selenium per il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system testing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del sito web, verificando il corretto funzionamento delle funzionalità chiave della piattaforma. Questo ci ha permesso di simulare scenari reali, come la registrazione di utenti, la ricerca di alloggi e l'interazione con i volontari, assicurandoci che l'esperienza utente fosse fluida e priva di errori.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line="360" w:lineRule="auto"/>
      <w:jc w:val="right"/>
      <w:rPr/>
    </w:pPr>
    <w:r w:rsidDel="00000000" w:rsidR="00000000" w:rsidRPr="00000000">
      <w:rPr>
        <w:rFonts w:ascii="Montserrat" w:cs="Montserrat" w:eastAsia="Montserrat" w:hAnsi="Montserrat"/>
        <w:sz w:val="24"/>
        <w:szCs w:val="24"/>
        <w:rtl w:val="0"/>
      </w:rPr>
      <w:t xml:space="preserve">pag.</w:t>
    </w:r>
    <w:r w:rsidDel="00000000" w:rsidR="00000000" w:rsidRPr="00000000">
      <w:rPr>
        <w:rFonts w:ascii="Montserrat" w:cs="Montserrat" w:eastAsia="Montserrat" w:hAnsi="Montserrat"/>
        <w:color w:val="697f8c"/>
        <w:sz w:val="24"/>
        <w:szCs w:val="24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b w:val="1"/>
        <w:color w:val="38761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