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color w:val="b08d57"/>
          <w:sz w:val="32"/>
          <w:szCs w:val="32"/>
        </w:rPr>
        <w:t xml:space="preserve">✦  ✦  ✦</w:t>
      </w:r>
    </w:p>
    <w:p>
      <w:pPr>
        <w:spacing w:after="280"/>
        <w:jc w:val="center"/>
      </w:pPr>
      <w:r>
        <w:rPr>
          <w:b/>
          <w:bCs/>
          <w:color w:val="1a1a1a"/>
          <w:sz w:val="48"/>
          <w:szCs w:val="48"/>
        </w:rPr>
        <w:t xml:space="preserve">Jornada Didática de</w:t>
      </w:r>
    </w:p>
    <w:p>
      <w:pPr>
        <w:spacing w:after="360"/>
        <w:jc w:val="center"/>
      </w:pPr>
      <w:r>
        <w:rPr>
          <w:b/>
          <w:bCs/>
          <w:color w:val="8a6d3f"/>
          <w:sz w:val="64"/>
          <w:szCs w:val="64"/>
        </w:rPr>
        <w:t xml:space="preserve">Regressão Linear</w:t>
      </w:r>
    </w:p>
    <w:p>
      <w:pPr>
        <w:spacing w:after="200"/>
        <w:jc w:val="center"/>
      </w:pPr>
      <w:r>
        <w:rPr>
          <w:i/>
          <w:iCs/>
          <w:color w:val="4a4a4a"/>
          <w:sz w:val="28"/>
          <w:szCs w:val="28"/>
        </w:rPr>
        <w:t xml:space="preserve">Guia de uso — versão 2</w:t>
      </w:r>
    </w:p>
    <w:p>
      <w:pPr>
        <w:spacing w:after="1200"/>
        <w:jc w:val="center"/>
      </w:pPr>
      <w:r>
        <w:rPr>
          <w:color w:val="4a4a4a"/>
          <w:sz w:val="22"/>
          <w:szCs w:val="22"/>
        </w:rPr>
        <w:t xml:space="preserve">Cinco widgets interativos para pós-graduação em administração</w:t>
      </w:r>
    </w:p>
    <w:p>
      <w:pPr>
        <w:spacing w:after="100"/>
        <w:jc w:val="center"/>
      </w:pPr>
      <w:r>
        <w:rPr>
          <w:b/>
          <w:bCs/>
          <w:color w:val="1a1a1a"/>
          <w:sz w:val="22"/>
          <w:szCs w:val="22"/>
        </w:rPr>
        <w:t xml:space="preserve">Prof. Dr. Leonardo Vils</w:t>
      </w:r>
    </w:p>
    <w:p>
      <w:pPr>
        <w:spacing w:after="100"/>
        <w:jc w:val="center"/>
      </w:pPr>
      <w:r>
        <w:rPr>
          <w:color w:val="4a4a4a"/>
          <w:sz w:val="20"/>
          <w:szCs w:val="20"/>
        </w:rPr>
        <w:t xml:space="preserve">PPGA / PPGP — Universidade Nove de Julho</w:t>
      </w:r>
    </w:p>
    <w:p>
      <w:pPr>
        <w:spacing w:after="800"/>
        <w:jc w:val="center"/>
      </w:pPr>
      <w:r>
        <w:rPr>
          <w:i/>
          <w:iCs/>
          <w:color w:val="4a4a4a"/>
          <w:sz w:val="20"/>
          <w:szCs w:val="20"/>
        </w:rPr>
        <w:t xml:space="preserve">Métodos e Técnicas de Pesquisa Quantitativa I</w:t>
      </w:r>
    </w:p>
    <w:p>
      <w:r>
        <w:br w:type="page"/>
      </w:r>
    </w:p>
    <w:p>
      <w:pPr>
        <w:pStyle w:val="Heading1"/>
        <w:spacing w:after="16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Apresentação</w:t>
      </w:r>
    </w:p>
    <w:p>
      <w:pPr>
        <w:spacing w:after="120" w:before="0" w:line="320"/>
        <w:jc w:val="both"/>
      </w:pPr>
      <w:r>
        <w:t xml:space="preserve">Este é um material didático aberto, em formato de website estático, desenhado para apoiar o ensino de regressão linear em programas de pós-graduação stricto sensu em administração e áreas afins. A jornada está dividida em cinco estágios interativos, cada um focado em um aspecto fundamental da regressão — da exploração inicial de correlações até os diagnósticos de pressupostos.</w:t>
      </w:r>
    </w:p>
    <w:p>
      <w:pPr>
        <w:spacing w:after="120" w:before="0" w:line="320"/>
        <w:jc w:val="both"/>
      </w:pPr>
      <w:r>
        <w:t xml:space="preserve">A motivação central é resolver duas dores frequentes do pós-graduando: (1) interpretar números de regressão sem perder de vista a magnitude do efeito, e (2) escrever a seção de resultados em formato APA com segurança. Para isso, os widgets exibem réguas visuais de tamanho de efeito com os cutoffs canônicos da literatura e geram automaticamente a frase APA pronta para colar no manuscrito.</w:t>
      </w:r>
    </w:p>
    <w:p>
      <w:pPr>
        <w:spacing w:after="120" w:before="0" w:line="320"/>
        <w:jc w:val="both"/>
      </w:pPr>
      <w:r>
        <w:t xml:space="preserve">O material foi desenvolvido em HTML/CSS/JavaScript puro, sem servidor ou banco de dados. Pode ser usado online (hospedado no GitHub Pages) ou offline (basta abrir os arquivos no navegador). Aceita também o upload de CSVs próprios — os widgets ajustam automaticamente os controles para as variáveis do arquivo enviado.</w:t>
      </w:r>
    </w:p>
    <w:p>
      <w:pPr>
        <w:pStyle w:val="Heading1"/>
        <w:spacing w:after="160" w:before="360"/>
      </w:pPr>
      <w:r>
        <w:t xml:space="preserve">2. Como acessar</w:t>
      </w:r>
    </w:p>
    <w:p>
      <w:pPr>
        <w:pStyle w:val="Heading2"/>
        <w:spacing w:after="160" w:before="240"/>
      </w:pPr>
      <w:r>
        <w:t xml:space="preserve">2.1. Online</w:t>
      </w:r>
    </w:p>
    <w:p>
      <w:pPr>
        <w:spacing w:after="120" w:before="0" w:line="320"/>
        <w:jc w:val="both"/>
      </w:pPr>
      <w:r>
        <w:t xml:space="preserve">Se já está hospedado, basta acessar o link no navegador (Chrome, Firefox, Safari, Edge):</w:t>
      </w:r>
    </w:p>
    <w:p>
      <w:pPr>
        <w:pBdr>
          <w:left w:val="single" w:color="b08d57" w:sz="12" w:space="8"/>
        </w:pBdr>
        <w:shd w:fill="f3ede3" w:val="clear"/>
        <w:spacing w:after="80" w:before="80" w:line="2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https://[seu-usuario].github.io/regressao-didatica/</w:t>
      </w:r>
    </w:p>
    <w:p>
      <w:pPr>
        <w:spacing w:after="120" w:before="0" w:line="320"/>
        <w:jc w:val="both"/>
      </w:pPr>
      <w:r>
        <w:t xml:space="preserve">A primeira página é o mapa da jornada (index.html), com cards para cada um dos cinco estágios e para a página de referências bibliográficas.</w:t>
      </w:r>
    </w:p>
    <w:p>
      <w:pPr>
        <w:pStyle w:val="Heading2"/>
        <w:spacing w:after="160" w:before="240"/>
      </w:pPr>
      <w:r>
        <w:t xml:space="preserve">2.2. Offline</w:t>
      </w:r>
    </w:p>
    <w:p>
      <w:pPr>
        <w:spacing w:after="120" w:before="0" w:line="320"/>
        <w:jc w:val="both"/>
      </w:pPr>
      <w:r>
        <w:t xml:space="preserve">Para uso offline (em laboratórios sem internet, por exemplo):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Descompacte o arquivo regressao-didatica.zip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Abra o arquivo index.html com duplo clique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Navegue pelos estágios normalmente — os dados estão embutidos no próprio HTML</w:t>
      </w:r>
    </w:p>
    <w:p>
      <w:pPr>
        <w:pStyle w:val="Heading2"/>
        <w:spacing w:after="160" w:before="240"/>
      </w:pPr>
      <w:r>
        <w:t xml:space="preserve">2.3. Hospedagem própria (GitHub Pages)</w:t>
      </w:r>
    </w:p>
    <w:p>
      <w:pPr>
        <w:spacing w:after="120" w:before="0" w:line="320"/>
        <w:jc w:val="both"/>
      </w:pPr>
      <w:r>
        <w:t xml:space="preserve">Para hospedar você mesmo (gratuito, sem manutenção):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Crie uma conta gratuita em github.com (se ainda não tem)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Em github.com/new, crie um repositório público com o nome regressao-didatica. NÃO marque as opções de README, .gitignore ou license.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Faça upload de todos os arquivos da pasta (incluindo a subpasta assets/) preservando a estrutura. Pode usar drag-and-drop direto na página do repositório.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Faça commit com a mensagem "Jornada didática de regressão linear".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Em Settings → Pages, escolha Source: Deploy from a branch, Branch: main, Folder: / (root) e clique em Save.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Aguarde aproximadamente 1 minuto. O site estará em https://[seu-usuario].github.io/regressao-didatica/</w:t>
      </w:r>
    </w:p>
    <w:p>
      <w:pPr>
        <w:pStyle w:val="Heading1"/>
        <w:spacing w:after="160" w:before="360"/>
      </w:pPr>
      <w:r>
        <w:t xml:space="preserve">3. Estrutura da jornada</w:t>
      </w:r>
    </w:p>
    <w:p>
      <w:pPr>
        <w:spacing w:after="120" w:before="0" w:line="320"/>
        <w:jc w:val="both"/>
      </w:pPr>
      <w:r>
        <w:t xml:space="preserve">Os cinco estágios são autocontidos — cada um funciona isoladamente — mas formam uma narrativa cumulativa. A recomendação pedagógica é seguir a ordem na primeira passada.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rPr>
          <w:tblHeader/>
        </w:trPr>
        <w:tc>
          <w:tcPr>
            <w:tcW w:type="dxa" w:w="12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shd w:fill="f3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a6d3f"/>
                <w:sz w:val="20"/>
                <w:szCs w:val="20"/>
              </w:rPr>
              <w:t xml:space="preserve">Estágio</w:t>
            </w:r>
          </w:p>
        </w:tc>
        <w:tc>
          <w:tcPr>
            <w:tcW w:type="dxa" w:w="2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shd w:fill="f3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a6d3f"/>
                <w:sz w:val="20"/>
                <w:szCs w:val="20"/>
              </w:rPr>
              <w:t xml:space="preserve">Tema</w:t>
            </w:r>
          </w:p>
        </w:tc>
        <w:tc>
          <w:tcPr>
            <w:tcW w:type="dxa" w:w="5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shd w:fill="f3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a6d3f"/>
                <w:sz w:val="20"/>
                <w:szCs w:val="20"/>
              </w:rPr>
              <w:t xml:space="preserve">Pontos-chave</w:t>
            </w:r>
          </w:p>
        </w:tc>
      </w:tr>
      <w:tr>
        <w:tc>
          <w:tcPr>
            <w:tcW w:type="dxa" w:w="12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Correlações</w:t>
            </w:r>
          </w:p>
        </w:tc>
        <w:tc>
          <w:tcPr>
            <w:tcW w:type="dxa" w:w="5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Matriz Pearson · r de Cohen · variância compartilhada</w:t>
            </w:r>
          </w:p>
        </w:tc>
      </w:tr>
      <w:tr>
        <w:tc>
          <w:tcPr>
            <w:tcW w:type="dxa" w:w="12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II</w:t>
            </w:r>
          </w:p>
        </w:tc>
        <w:tc>
          <w:tcPr>
            <w:tcW w:type="dxa" w:w="2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Regressão Simples</w:t>
            </w:r>
          </w:p>
        </w:tc>
        <w:tc>
          <w:tcPr>
            <w:tcW w:type="dxa" w:w="5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OLS · β, EP, IC 95% · R² e f² de Cohen · APA</w:t>
            </w:r>
          </w:p>
        </w:tc>
      </w:tr>
      <w:tr>
        <w:tc>
          <w:tcPr>
            <w:tcW w:type="dxa" w:w="12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III</w:t>
            </w:r>
          </w:p>
        </w:tc>
        <w:tc>
          <w:tcPr>
            <w:tcW w:type="dxa" w:w="2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Regressão Múltipla</w:t>
            </w:r>
          </w:p>
        </w:tc>
        <w:tc>
          <w:tcPr>
            <w:tcW w:type="dxa" w:w="5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Múltiplos preditores · VIF · histórico · comparação · calculadora N</w:t>
            </w:r>
          </w:p>
        </w:tc>
      </w:tr>
      <w:tr>
        <w:tc>
          <w:tcPr>
            <w:tcW w:type="dxa" w:w="12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IV</w:t>
            </w:r>
          </w:p>
        </w:tc>
        <w:tc>
          <w:tcPr>
            <w:tcW w:type="dxa" w:w="2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Moderação</w:t>
            </w:r>
          </w:p>
        </w:tc>
        <w:tc>
          <w:tcPr>
            <w:tcW w:type="dxa" w:w="5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Centralização · termo de interação · simple slopes · escala Aguinis</w:t>
            </w:r>
          </w:p>
        </w:tc>
      </w:tr>
      <w:tr>
        <w:tc>
          <w:tcPr>
            <w:tcW w:type="dxa" w:w="12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2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Pressupostos</w:t>
            </w:r>
          </w:p>
        </w:tc>
        <w:tc>
          <w:tcPr>
            <w:tcW w:type="dxa" w:w="5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Normalidade · homocedasticidade · independência · Cook D · leverage</w:t>
            </w:r>
          </w:p>
        </w:tc>
      </w:tr>
    </w:tbl>
    <w:p>
      <w:pPr>
        <w:pStyle w:val="Heading1"/>
        <w:spacing w:after="160" w:before="360"/>
      </w:pPr>
      <w:r>
        <w:t xml:space="preserve">4. Detalhe de cada estágio</w:t>
      </w:r>
    </w:p>
    <w:p>
      <w:pPr>
        <w:pStyle w:val="Heading2"/>
        <w:spacing w:after="160" w:before="240"/>
      </w:pPr>
      <w:r>
        <w:t xml:space="preserve">4.1. Estágio I — Correlações</w:t>
      </w:r>
    </w:p>
    <w:p>
      <w:pPr>
        <w:spacing w:after="120" w:before="0" w:line="320"/>
        <w:jc w:val="both"/>
      </w:pPr>
      <w:r>
        <w:t xml:space="preserve">Mostra a matriz de correlações de Pearson como um heatmap clicável. Cada célula tem um número e uma cor (azul para positivo, vermelho para negativo). Ao clicar em qualquer célula fora da diagonal, abre-se um diagrama de dispersão completo com a reta de regressão, KPIs (r, t, p, r² compartilhado) e a régua de tamanho de efeito segundo Cohen (1988).</w:t>
      </w:r>
    </w:p>
    <w:p>
      <w:pPr>
        <w:spacing w:after="120" w:before="0" w:line="320"/>
        <w:jc w:val="both"/>
      </w:pPr>
      <w:r>
        <w:t xml:space="preserve">Pontos pedagógicos a explorar com a turma: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Por que a diagonal vale 1 (correlação de uma variável consigo mesma).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A diferença entre força (|r|) e direção (sinal de r). Um r = –0,55 é mais forte que um r = 0,40.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A interpretação do r² compartilhado: se r = 0,40, apenas 16% da variância é compartilhada — não 40%.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Quando duas variáveis correlacionam-se fortemente, o que isso sugere para a regressão múltipla? (Antecipa o conceito de VIF).</w:t>
      </w:r>
    </w:p>
    <w:p>
      <w:pPr>
        <w:pStyle w:val="Heading2"/>
        <w:spacing w:after="160" w:before="240"/>
      </w:pPr>
      <w:r>
        <w:t xml:space="preserve">4.2. Estágio II — Regressão Simples</w:t>
      </w:r>
    </w:p>
    <w:p>
      <w:pPr>
        <w:spacing w:after="120" w:before="0" w:line="320"/>
        <w:jc w:val="both"/>
      </w:pPr>
      <w:r>
        <w:t xml:space="preserve">Permite ajustar uma regressão de uma única VI sobre uma VD escolhida. Mostra a equação estimada, os KPIs (R², R² ajustado, f² de Cohen, F, p), o diagrama de dispersão com a reta e a banda de IC 95%, e a tabela de coeficientes com β, EP, t, p e IC 95%.</w:t>
      </w:r>
    </w:p>
    <w:p>
      <w:pPr>
        <w:spacing w:after="120" w:before="0" w:line="320"/>
        <w:jc w:val="both"/>
      </w:pPr>
      <w:r>
        <w:t xml:space="preserve">Pontos pedagógicos: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A interpretação de β1 como mudança esperada em Y por unidade de X.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A relação R² ↔ f² de Cohen (f² = R² / (1 – R²)) e as bandas canônicas: 0,02 / 0,15 / 0,35.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O contraste entre significância (p baixo) e magnitude (R² ou f²) — com N grande, qualquer efeito vira significativo, mesmo trivial.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A banda de IC 95% e por que ela se abre nas extremidades de X (incerteza maior quando se afasta da média).</w:t>
      </w:r>
    </w:p>
    <w:p>
      <w:pPr>
        <w:pBdr>
          <w:left w:val="single" w:color="b08d57" w:sz="18" w:space="8"/>
        </w:pBdr>
        <w:shd w:fill="fcf5e7" w:val="clear"/>
        <w:spacing w:after="160" w:before="160" w:line="300"/>
        <w:ind w:left="200" w:right="200"/>
      </w:pPr>
      <w:r>
        <w:rPr>
          <w:sz w:val="22"/>
          <w:szCs w:val="22"/>
        </w:rPr>
        <w:t xml:space="preserve">Use a frase APA gerada como demonstração de relato profissional. Mostre como ela já segue as convenções: F itálico, p com vírgula decimal, sinal de menor que para p &lt; 0,001.</w:t>
      </w:r>
    </w:p>
    <w:p>
      <w:pPr>
        <w:pStyle w:val="Heading2"/>
        <w:spacing w:after="160" w:before="240"/>
      </w:pPr>
      <w:r>
        <w:t xml:space="preserve">4.3. Estágio III — Regressão Múltipla (o coração da jornada)</w:t>
      </w:r>
    </w:p>
    <w:p>
      <w:pPr>
        <w:spacing w:after="120" w:before="0" w:line="320"/>
        <w:jc w:val="both"/>
      </w:pPr>
      <w:r>
        <w:t xml:space="preserve">É o widget mais completo. Permite construir o modelo passo a passo, adicionando ou removendo preditores via checkboxes. Cada alteração entra no histórico — você pode clicar em qualquer modelo anterior (M1, M2, M3…) para restaurá-lo, e fixar até dois modelos para comparação lado a lado.</w:t>
      </w:r>
    </w:p>
    <w:p>
      <w:pPr>
        <w:spacing w:after="120" w:before="0" w:line="320"/>
        <w:jc w:val="both"/>
      </w:pPr>
      <w:r>
        <w:t xml:space="preserve">Recursos exclusivos deste estágio: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Coluna f² local na tabela de coeficientes: mostra o tamanho de efeito de cada VI individualmente (calculado removendo a VI e medindo a queda de R²).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Histórico clicável: cada modelo testado fica registrado e pode ser restaurado com um clique.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Comparação lado a lado: o botão 📌 fixa um modelo; com dois fixados, aparece um painel mostrando R², R²ₐⱼ, F, f² e a tabela de β em paralelo, com a diferença ΔR²ₐⱼ.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Calculadora de N mínimo: três critérios canônicos (Cohen 1988; Green 1991 para modelo; Green 1991 para β individuais) com badge ✓ ou ✗ indicando se sua amostra atende.</w:t>
      </w:r>
    </w:p>
    <w:p>
      <w:pPr>
        <w:spacing w:after="120" w:before="0" w:line="320"/>
        <w:jc w:val="both"/>
      </w:pPr>
      <w:r>
        <w:t xml:space="preserve">Pontos pedagógicos: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Por que R² sempre sobe ao adicionar preditores (mesmo aleatórios) — e por que R²ₐⱼ é a referência mais honesta.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Como o VIF se comporta conforme adicionamos preditores correlacionados — exercício prático: adicione apenas VI1 e veja VIF = 1; depois adicione todas; observe os VIFs subirem.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O cálculo de N mínimo dá segurança ao aluno sobre o poder do seu estudo. Mostre Cohen vs. Green e discuta quando cada um se aplica.</w:t>
      </w:r>
    </w:p>
    <w:p>
      <w:pPr>
        <w:pStyle w:val="Heading2"/>
        <w:spacing w:after="160" w:before="240"/>
      </w:pPr>
      <w:r>
        <w:t xml:space="preserve">4.4. Estágio IV — Moderação</w:t>
      </w:r>
    </w:p>
    <w:p>
      <w:pPr>
        <w:spacing w:after="120" w:before="0" w:line="320"/>
        <w:jc w:val="both"/>
      </w:pPr>
      <w:r>
        <w:t xml:space="preserve">Testa o efeito de moderação ao incluir um termo de interação X × W, com X e W previamente centralizados na média (Aiken &amp; West, 1991). Mostra as simple slopes em três níveis de W (–1 DP, média, +1 DP), com a inclinação de cada uma calculada explicitamente.</w:t>
      </w:r>
    </w:p>
    <w:p>
      <w:pPr>
        <w:spacing w:after="120" w:before="0" w:line="320"/>
        <w:jc w:val="both"/>
      </w:pPr>
      <w:r>
        <w:t xml:space="preserve">Recurso exclusivo: régua dupla para o f² da interação — uma na escala canônica de Cohen (1988: 0,02 / 0,15 / 0,35) e outra na escala específica para moderação de Aguinis et al. (2005: 0,005 / 0,01 / 0,025). A diferença entre as duas réguas é o ponto pedagógico central.</w:t>
      </w:r>
    </w:p>
    <w:p>
      <w:pPr>
        <w:pBdr>
          <w:left w:val="single" w:color="b08d57" w:sz="18" w:space="8"/>
        </w:pBdr>
        <w:shd w:fill="fcf5e7" w:val="clear"/>
        <w:spacing w:after="160" w:before="160" w:line="300"/>
        <w:ind w:left="200" w:right="200"/>
      </w:pPr>
      <w:r>
        <w:rPr>
          <w:sz w:val="22"/>
          <w:szCs w:val="22"/>
        </w:rPr>
        <w:t xml:space="preserve">Aguinis et al. (2005) revisaram 30 anos de estudos em management e encontraram mediana de f² de interação ≈ 0,002. Por isso a escala específica é tão mais sensível: aplicar Cohen (1988) a moderações faz quase todos os efeitos parecerem triviais.</w:t>
      </w:r>
    </w:p>
    <w:p>
      <w:pPr>
        <w:spacing w:after="120" w:before="0" w:line="320"/>
        <w:jc w:val="both"/>
      </w:pPr>
      <w:r>
        <w:t xml:space="preserve">Pontos pedagógicos: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Por que centralizamos X e W antes de criar o termo de interação (resposta: reduzir multicolinearidade entre X×W e os efeitos principais).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Como ler as simple slopes: se a interação é positiva, as retas "abrem em leque" conforme W aumenta.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A inclinação de cada simple slope é β_X + β_XW × w (onde w é o valor de W naquele nível).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Por que a escala de Aguinis é mais apropriada para moderação.</w:t>
      </w:r>
    </w:p>
    <w:p>
      <w:pPr>
        <w:pStyle w:val="Heading2"/>
        <w:spacing w:after="160" w:before="240"/>
      </w:pPr>
      <w:r>
        <w:t xml:space="preserve">4.5. Estágio V — Pressupostos</w:t>
      </w:r>
    </w:p>
    <w:p>
      <w:pPr>
        <w:spacing w:after="120" w:before="0" w:line="320"/>
        <w:jc w:val="both"/>
      </w:pPr>
      <w:r>
        <w:t xml:space="preserve">Conduz seis verificações de pressupostos com testes formais, gráficos e classificação automática. Para cada pressuposto, o widget mostra a estatística do teste, o p-valor (quando aplicável), o veredito (atendido / atenção / violado) e a referência canônica do cutoff usado.</w:t>
      </w:r>
    </w:p>
    <w:p>
      <w:pPr>
        <w:spacing w:after="120" w:before="0" w:line="320"/>
        <w:jc w:val="both"/>
      </w:pPr>
      <w:r>
        <w:t xml:space="preserve">Pressupostos cobertos: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Normalidade dos resíduos: teste de Jarque-Bera, com assimetria e curtose (Curran et al., 1996; Hair et al., 2019).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Homocedasticidade: teste de Breusch-Pagan (1979).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Independência dos resíduos: estatística de Durbin-Watson (1951), com faixa prática de Field (2018).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Multicolinearidade: VIF com bandas de Hair et al. (2019); tolerância como referência inversa.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Observações influentes: Cook's D com as duas regras canônicas — 4/N (Bollen &amp; Jackman, 1990) e D &gt; 1 (Cook &amp; Weisberg, 1982).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Pontos de alavancagem: leverage com cutoff de Belsley et al. (1980), h &gt; 2(k+1)/N.</w:t>
      </w:r>
    </w:p>
    <w:p>
      <w:pPr>
        <w:spacing w:after="120" w:before="0" w:line="320"/>
        <w:jc w:val="both"/>
      </w:pPr>
      <w:r>
        <w:t xml:space="preserve">Os gráficos auxiliares incluem resíduos vs. valores ajustados (para inspeção visual de homocedasticidade) e Q-Q plot dos resíduos (para inspeção visual de normalidade).</w:t>
      </w:r>
    </w:p>
    <w:p>
      <w:pPr>
        <w:pStyle w:val="Heading1"/>
        <w:spacing w:after="160" w:before="360"/>
      </w:pPr>
      <w:r>
        <w:t xml:space="preserve">5. Recursos transversais</w:t>
      </w:r>
    </w:p>
    <w:p>
      <w:pPr>
        <w:pStyle w:val="Heading2"/>
        <w:spacing w:after="160" w:before="240"/>
      </w:pPr>
      <w:r>
        <w:t xml:space="preserve">5.1. Réguas de tamanho de efeito</w:t>
      </w:r>
    </w:p>
    <w:p>
      <w:pPr>
        <w:spacing w:after="120" w:before="0" w:line="320"/>
        <w:jc w:val="both"/>
      </w:pPr>
      <w:r>
        <w:t xml:space="preserve">Aparecem em todos os widgets que produzem um indicador classificável (r, R², f², VIF, assimetria, curtose, Durbin-Watson). A régua mostra três elementos: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Bandas coloridas indicando as faixas Pequeno / Médio / Grande (ou OK / Atenção / Severo, conforme o caso).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Marcador preto indicando onde seu valor cai.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Citação à direita da régua identificando o autor do cutoff (ex.: Cohen, 1988).</w:t>
      </w:r>
    </w:p>
    <w:p>
      <w:pPr>
        <w:spacing w:after="120" w:before="0" w:line="320"/>
        <w:jc w:val="both"/>
      </w:pPr>
      <w:r>
        <w:t xml:space="preserve">Passar o cursor sobre a citação revela a referência bibliográfica completa em formato APA.</w:t>
      </w:r>
    </w:p>
    <w:p>
      <w:pPr>
        <w:pStyle w:val="Heading2"/>
        <w:spacing w:after="160" w:before="240"/>
      </w:pPr>
      <w:r>
        <w:t xml:space="preserve">5.2. Frase APA copiável</w:t>
      </w:r>
    </w:p>
    <w:p>
      <w:pPr>
        <w:spacing w:after="120" w:before="0" w:line="320"/>
        <w:jc w:val="both"/>
      </w:pPr>
      <w:r>
        <w:t xml:space="preserve">Em cada estágio, no final do painel de resultados, há uma caixa destacada em dourado com o título "Formato APA — pronto para colar" e um botão Copiar. A frase já vem com a formatação adequada (F itálico, p &lt; 0,001 com sinal de menor que, vírgula decimal em português), e cobre todos os elementos esperados de um relato de resultados — graus de liberdade, estatística do teste, p-valor, tamanho de efeito.</w:t>
      </w:r>
    </w:p>
    <w:p>
      <w:pPr>
        <w:spacing w:after="120" w:before="0" w:line="320"/>
        <w:jc w:val="both"/>
      </w:pPr>
      <w:r>
        <w:t xml:space="preserve">Recomendação para a aula: peça aos alunos que (1) escolham um modelo no widget, (2) copiem a frase APA, (3) colem no documento e (4) adaptem para a linguagem do estudo deles. É um exercício rápido que fixa as convenções de relato.</w:t>
      </w:r>
    </w:p>
    <w:p>
      <w:pPr>
        <w:pStyle w:val="Heading2"/>
        <w:spacing w:after="160" w:before="240"/>
      </w:pPr>
      <w:r>
        <w:t xml:space="preserve">5.3. Mini-quiz entre estágios</w:t>
      </w:r>
    </w:p>
    <w:p>
      <w:pPr>
        <w:spacing w:after="120" w:before="0" w:line="320"/>
        <w:jc w:val="both"/>
      </w:pPr>
      <w:r>
        <w:t xml:space="preserve">Ao final de cada widget, há um bloco de 2 a 3 perguntas de múltipla escolha sobre o conteúdo daquele estágio. Cada opção, ao ser clicada, mostra um feedback imediato — verde se correta, vermelha se incorreta, sempre com uma explicação curta.</w:t>
      </w:r>
    </w:p>
    <w:p>
      <w:pPr>
        <w:spacing w:after="120" w:before="0" w:line="320"/>
        <w:jc w:val="both"/>
      </w:pPr>
      <w:r>
        <w:t xml:space="preserve">As perguntas foram desenhadas para capturar erros frequentes (significância vs. magnitude; R² ajustado caindo com preditor irrelevante; centralização e multicolinearidade; etc.). Funcionam tanto como autoavaliação rápida quanto como prompt de discussão em aula.</w:t>
      </w:r>
    </w:p>
    <w:p>
      <w:pPr>
        <w:pStyle w:val="Heading2"/>
        <w:spacing w:after="160" w:before="240"/>
      </w:pPr>
      <w:r>
        <w:t xml:space="preserve">5.4. Upload de CSV próprio</w:t>
      </w:r>
    </w:p>
    <w:p>
      <w:pPr>
        <w:spacing w:after="120" w:before="0" w:line="320"/>
        <w:jc w:val="both"/>
      </w:pPr>
      <w:r>
        <w:t xml:space="preserve">Cada widget tem, na seção "Dados", uma área para upload de arquivo CSV. Requisitos: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Codificação UTF-8 (a maioria dos editores e softwares estatísticos exporta nesse formato).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Cabeçalho na primeira linha com nomes das variáveis.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Separador: vírgula (,), ponto-e-vírgula (;) ou tabulação. O parser detecta automaticamente.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Decimal: ponto (.) ou vírgula (,). O parser converte automaticamente.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Pelo menos 2 colunas numéricas (3 colunas para o widget de moderação).</w:t>
      </w:r>
    </w:p>
    <w:p>
      <w:pPr>
        <w:spacing w:after="120" w:before="0" w:line="320"/>
        <w:jc w:val="both"/>
      </w:pPr>
      <w:r>
        <w:t xml:space="preserve">Após o upload, os menus de seleção de variáveis são atualizados automaticamente para refletir as colunas do arquivo enviado.</w:t>
      </w:r>
    </w:p>
    <w:p>
      <w:pPr>
        <w:pStyle w:val="Heading2"/>
        <w:spacing w:after="160" w:before="240"/>
      </w:pPr>
      <w:r>
        <w:t xml:space="preserve">5.5. Calculadora de N mínimo (Estágio III)</w:t>
      </w:r>
    </w:p>
    <w:p>
      <w:pPr>
        <w:spacing w:after="120" w:before="0" w:line="320"/>
        <w:jc w:val="both"/>
      </w:pPr>
      <w:r>
        <w:t xml:space="preserve">Mostra três critérios canônicos para o tamanho mínimo da amostra, dado o número de preditores no modelo atual: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00"/>
      </w:tblGrid>
      <w:tr>
        <w:trPr>
          <w:tblHeader/>
        </w:trPr>
        <w:tc>
          <w:tcPr>
            <w:tcW w:type="dxa" w:w="3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shd w:fill="f3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a6d3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shd w:fill="f3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a6d3f"/>
                <w:sz w:val="20"/>
                <w:szCs w:val="20"/>
              </w:rPr>
              <w:t xml:space="preserve">Fórmula</w:t>
            </w:r>
          </w:p>
        </w:tc>
        <w:tc>
          <w:tcPr>
            <w:tcW w:type="dxa" w:w="38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shd w:fill="f3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a6d3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Cohen (1988) — regra geral</w:t>
            </w:r>
          </w:p>
        </w:tc>
        <w:tc>
          <w:tcPr>
            <w:tcW w:type="dxa" w:w="18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 ≥ 50 + 8k</w:t>
            </w:r>
          </w:p>
        </w:tc>
        <w:tc>
          <w:tcPr>
            <w:tcW w:type="dxa" w:w="38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Avaliação rápida para efeito médio</w:t>
            </w:r>
          </w:p>
        </w:tc>
      </w:tr>
      <w:tr>
        <w:tc>
          <w:tcPr>
            <w:tcW w:type="dxa" w:w="3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Green (1991) — teste do modelo (F global)</w:t>
            </w:r>
          </w:p>
        </w:tc>
        <w:tc>
          <w:tcPr>
            <w:tcW w:type="dxa" w:w="18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 ≥ 50 + 8k</w:t>
            </w:r>
          </w:p>
        </w:tc>
        <w:tc>
          <w:tcPr>
            <w:tcW w:type="dxa" w:w="38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 detectar significância do R² global</w:t>
            </w:r>
          </w:p>
        </w:tc>
      </w:tr>
      <w:tr>
        <w:tc>
          <w:tcPr>
            <w:tcW w:type="dxa" w:w="34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Green (1991) — teste de β individuais</w:t>
            </w:r>
          </w:p>
        </w:tc>
        <w:tc>
          <w:tcPr>
            <w:tcW w:type="dxa" w:w="18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 ≥ 104 + k</w:t>
            </w:r>
          </w:p>
        </w:tc>
        <w:tc>
          <w:tcPr>
            <w:tcW w:type="dxa" w:w="3800"/>
            <w:tcBorders>
              <w:top w:val="single" w:color="c8bd9e" w:sz="4"/>
              <w:left w:val="single" w:color="c8bd9e" w:sz="4"/>
              <w:bottom w:val="single" w:color="c8bd9e" w:sz="4"/>
              <w:right w:val="single" w:color="c8bd9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 detectar significância de cada β</w:t>
            </w:r>
          </w:p>
        </w:tc>
      </w:tr>
    </w:tbl>
    <w:p>
      <w:pPr>
        <w:spacing w:after="120" w:before="0" w:line="320"/>
        <w:jc w:val="both"/>
      </w:pPr>
      <w:r>
        <w:t xml:space="preserve">Cada linha mostra um badge ✓ (atende) ou ✗ (insuficiente) baseado no N atual da amostra. Útil para você responder, em tempo real, à pergunta "meu N é suficiente para este modelo?".</w:t>
      </w:r>
    </w:p>
    <w:p>
      <w:pPr>
        <w:pStyle w:val="Heading1"/>
        <w:spacing w:after="160" w:before="360"/>
      </w:pPr>
      <w:r>
        <w:t xml:space="preserve">6. Sugestões pedagógicas</w:t>
      </w:r>
    </w:p>
    <w:p>
      <w:pPr>
        <w:pStyle w:val="Heading2"/>
        <w:spacing w:after="160" w:before="240"/>
      </w:pPr>
      <w:r>
        <w:t xml:space="preserve">6.1. Para uso em aula presencial</w:t>
      </w:r>
    </w:p>
    <w:p>
      <w:pPr>
        <w:spacing w:after="120" w:before="0" w:line="320"/>
        <w:jc w:val="both"/>
      </w:pPr>
      <w:r>
        <w:t xml:space="preserve">Sugestão de roteiro para uma aula de 4 horas: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Bloco 1 (45 min): Estágio I + Estágio II. Foco em correlação, β, R², interpretação. Mostre a régua de Cohen e discuta a distinção entre significância e magnitude.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Intervalo (15 min).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Bloco 2 (60 min): Estágio III. Construa um modelo com a turma, adicionando preditores e observando R²/R²ₐⱼ/VIF mudarem. Use a calculadora de N para discutir poder estatístico.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Bloco 3 (45 min): Estágio IV. Moderação com centralização e simple slopes. Discuta a diferença entre as escalas de Cohen e Aguinis.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Intervalo (15 min).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Bloco 4 (60 min): Estágio V. Diagnósticos completos. Discuta cada pressuposto e o que fazer quando é violado.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Encerramento (15 min): turma resolve os mini-quizzes em duplas e compartilha respostas.</w:t>
      </w:r>
    </w:p>
    <w:p>
      <w:pPr>
        <w:pStyle w:val="Heading2"/>
        <w:spacing w:after="160" w:before="240"/>
      </w:pPr>
      <w:r>
        <w:t xml:space="preserve">6.2. Para auto-estudo</w:t>
      </w:r>
    </w:p>
    <w:p>
      <w:pPr>
        <w:spacing w:after="120" w:before="0" w:line="320"/>
        <w:jc w:val="both"/>
      </w:pPr>
      <w:r>
        <w:t xml:space="preserve">Recomende aos alunos: (a) seguir a ordem dos cinco estágios; (b) resolver os mini-quizzes antes de avançar; (c) experimentar combinações de preditores no Estágio III, fixando modelos e comparando lado a lado; (d) subir um CSV próprio (de um projeto em andamento) e ver os resultados do estudo deles passarem por todos os diagnósticos.</w:t>
      </w:r>
    </w:p>
    <w:p>
      <w:pPr>
        <w:pStyle w:val="Heading2"/>
        <w:spacing w:after="160" w:before="240"/>
      </w:pPr>
      <w:r>
        <w:t xml:space="preserve">6.3. Para uso em orientação de TCC, dissertação e tese</w:t>
      </w:r>
    </w:p>
    <w:p>
      <w:pPr>
        <w:spacing w:after="120" w:before="0" w:line="320"/>
        <w:jc w:val="both"/>
      </w:pPr>
      <w:r>
        <w:t xml:space="preserve">O Estágio V é particularmente útil em orientações: o orientando sobe o banco do estudo dele e o widget gera, em um clique, a síntese dos diagnósticos no formato APA. Isso resolve uma fonte recorrente de revisões em desk review e peer review.</w:t>
      </w:r>
    </w:p>
    <w:p>
      <w:pPr>
        <w:pStyle w:val="Heading1"/>
        <w:spacing w:after="160" w:before="360"/>
      </w:pPr>
      <w:r>
        <w:t xml:space="preserve">7. Contagem de visitas com Cloudflare Web Analytics</w:t>
      </w:r>
    </w:p>
    <w:p>
      <w:pPr>
        <w:spacing w:after="120" w:before="0" w:line="320"/>
        <w:jc w:val="both"/>
      </w:pPr>
      <w:r>
        <w:t xml:space="preserve">O GitHub Pages, por padrão, não fornece estatísticas de visita. Para acompanhar quantos alunos acessam o material, qual estágio é mais visitado, de onde vêm os acessos, etc., recomendo o Cloudflare Web Analytics — gratuito, privacy-first, sem cookies, sem necessidade de banner LGPD.</w:t>
      </w:r>
    </w:p>
    <w:p>
      <w:pPr>
        <w:pStyle w:val="Heading2"/>
        <w:spacing w:after="160" w:before="240"/>
      </w:pPr>
      <w:r>
        <w:t xml:space="preserve">7.1. Por que Cloudflare e não Google Analytics?</w:t>
      </w:r>
    </w:p>
    <w:p>
      <w:pPr>
        <w:spacing w:after="120" w:before="0" w:line="320"/>
        <w:jc w:val="both"/>
      </w:pPr>
      <w:r>
        <w:t xml:space="preserve">Três motivos: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Privacidade: não usa cookies nem identifica usuários individualmente. Por isso não exige banner de consentimento (LGPD/GDPR-compliant por design).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Performance: o script é leve (~6 KB) e não bloqueia o carregamento da página.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Simplicidade: setup em ~5 minutos sem instalar nada — só uma linha de código nos HTMLs.</w:t>
      </w:r>
    </w:p>
    <w:p>
      <w:pPr>
        <w:pStyle w:val="Heading2"/>
        <w:spacing w:after="160" w:before="240"/>
      </w:pPr>
      <w:r>
        <w:t xml:space="preserve">7.2. Passo a passo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Acesse dash.cloudflare.com e crie uma conta gratuita (basta email e senha).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No menu lateral, vá em Analytics &amp; Logs → Web Analytics.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Clique em Add a site (botão azul, canto superior direito).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No campo Hostname, digite seu domínio do GitHub Pages: [seu-usuario].github.io (por exemplo, leonardovils.github.io). NÃO inclua https:// nem barras no final.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Como o domínio github.io não está sob seu controle DNS, o Cloudflare oferecerá a opção "Manual setup". Aceite.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O Cloudflare mostra um snippet JavaScript com um token único — algo como:</w:t>
      </w:r>
    </w:p>
    <w:p>
      <w:pPr>
        <w:pBdr>
          <w:left w:val="single" w:color="b08d57" w:sz="12" w:space="8"/>
        </w:pBdr>
        <w:shd w:fill="f3ede3" w:val="clear"/>
        <w:spacing w:after="80" w:before="80" w:line="2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&lt;script defer src="https://static.cloudflareinsights.com/beacon.min.js"
  data-cf-beacon='{"token": "AQUI_VAI_O_TOKEN_DELE_LONGO"}'&gt;&lt;/script&gt;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Copie esse snippet inteiro.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Nos arquivos HTML do material (todos os 7: index.html, referencias.html e os cinco estágios), abra cada um, localize o trecho de comentário próximo ao final do arquivo (antes de &lt;/body&gt;):</w:t>
      </w:r>
    </w:p>
    <w:p>
      <w:pPr>
        <w:pBdr>
          <w:left w:val="single" w:color="b08d57" w:sz="12" w:space="8"/>
        </w:pBdr>
        <w:shd w:fill="f3ede3" w:val="clear"/>
        <w:spacing w:after="80" w:before="80" w:line="2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&lt;!-- Cloudflare Web Analytics — ...
&lt;!-- &lt;script defer src="https://static.cloudflareinsights.com/beacon.min.js"
  data-cf-beacon="{&amp;quot;token&amp;quot;: &amp;quot;COLE_SEU_TOKEN_AQUI&amp;quot;}"&gt;&lt;/script&gt; --&gt;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Substitua a linha comentada pelo snippet completo que você copiou. Remova os caracteres &lt;!-- e --&gt; que estão no início e fim, transformando o comentário em código ativo.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Faça o commit (se está hospedando no GitHub) ou salve os arquivos (se está rodando offline). O GitHub Pages atualiza automaticamente em ~1 minuto.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Aguarde 5 a 10 minutos. Volte ao painel do Cloudflare → Web Analytics e os dados começarão a aparecer.</w:t>
      </w:r>
    </w:p>
    <w:p>
      <w:pPr>
        <w:pBdr>
          <w:left w:val="single" w:color="b08d57" w:sz="18" w:space="8"/>
        </w:pBdr>
        <w:shd w:fill="fcf5e7" w:val="clear"/>
        <w:spacing w:after="160" w:before="160" w:line="300"/>
        <w:ind w:left="200" w:right="200"/>
      </w:pPr>
      <w:r>
        <w:rPr>
          <w:sz w:val="22"/>
          <w:szCs w:val="22"/>
        </w:rPr>
        <w:t xml:space="preserve">Atenção ao postfix matching do Cloudflare: ao cadastrar [seu-usuario].github.io, o Cloudflare valida tudo que termina com esse hostname. Isso inclui outros projetos seus em GitHub Pages no mesmo usuário. Os dados aparecerão agregados; para separar por projeto, filtre pelo path (URL pathname) no painel do Cloudflare.</w:t>
      </w:r>
    </w:p>
    <w:p>
      <w:pPr>
        <w:pStyle w:val="Heading2"/>
        <w:spacing w:after="160" w:before="240"/>
      </w:pPr>
      <w:r>
        <w:t xml:space="preserve">7.3. O que você verá no painel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Page views (visualizações de página).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Visitors (visitantes únicos por dia, não rastreados por cookie — estimativa baseada em fingerprint anônimo).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Top pages (páginas mais acessadas — útil para ver qual estágio gera mais engajamento).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Top referrers (de onde vêm os acessos — links externos, motores de busca, etc.).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Top countries (geolocalização agregada por país, sem identificar o usuário).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Browser e OS (estatísticas de navegador e sistema operacional).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Core Web Vitals (métricas de performance percebida — LCP, CLS, FID).</w:t>
      </w:r>
    </w:p>
    <w:p>
      <w:pPr>
        <w:spacing w:after="120" w:before="0" w:line="320"/>
        <w:jc w:val="both"/>
      </w:pPr>
      <w:r>
        <w:t xml:space="preserve">Os dados ficam disponíveis em janelas de 24h, 7d, 30d e personalizada.</w:t>
      </w:r>
    </w:p>
    <w:p>
      <w:pPr>
        <w:pStyle w:val="Heading2"/>
        <w:spacing w:after="160" w:before="240"/>
      </w:pPr>
      <w:r>
        <w:t xml:space="preserve">7.4. Alternativas (caso não queira usar Cloudflare)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GoatCounter (goatcounter.com): gratuito para uso não-comercial, também sem cookies. Popular em ambientes acadêmicos.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Plausible (plausible.io): pago (≈US$9/mês), mas open-source e auto-hospedável se preferir.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Umami (umami.is): open-source e auto-hospedável (requer um servidor e banco de dados — mais trabalhoso).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Google Analytics: gratuito e robusto, mas usa cookies → exige banner LGPD/GDPR e adiciona peso à página.</w:t>
      </w:r>
    </w:p>
    <w:p>
      <w:pPr>
        <w:pStyle w:val="Heading1"/>
        <w:spacing w:after="160" w:before="360"/>
      </w:pPr>
      <w:r>
        <w:t xml:space="preserve">8. Banco de dados pré-carregado</w:t>
      </w:r>
    </w:p>
    <w:p>
      <w:pPr>
        <w:spacing w:after="120" w:before="0" w:line="320"/>
        <w:jc w:val="both"/>
      </w:pPr>
      <w:r>
        <w:t xml:space="preserve">Os widgets vêm com um banco sintético de 180 casos embutido (assets/dados.js), criado especificamente para fins didáticos. Características: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N = 180 (acima do mínimo de Green 1991 para até k = 9 preditores).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Seis variáveis numéricas: VI1, VI2, VI3 (preditores), W1 (moderadora), VD1, VD2 (respostas).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W1 amplifica os efeitos de VI1 sobre VD1 e VI2 sobre VD2 — útil para demonstrar moderação significativa.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Todos os pressupostos da regressão respeitados por construção (normalidade, homocedasticidade, independência, baixa multicolinearidade).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Seed reproduzível: 20260512.</w:t>
      </w:r>
    </w:p>
    <w:p>
      <w:pPr>
        <w:spacing w:after="120" w:before="0" w:line="320"/>
        <w:jc w:val="both"/>
      </w:pPr>
      <w:r>
        <w:t xml:space="preserve">O dicionário completo e o gabarito dos coeficientes populacionais estão na planilha original que gerou o banco. Se você quiser reproduzir esse banco com outro N ou outras especificações, posso fornecer o script Python.</w:t>
      </w:r>
    </w:p>
    <w:p>
      <w:pPr>
        <w:pStyle w:val="Heading1"/>
        <w:spacing w:after="160" w:before="360"/>
      </w:pPr>
      <w:r>
        <w:t xml:space="preserve">9. Estrutura técnica dos arquivos</w:t>
      </w:r>
    </w:p>
    <w:p>
      <w:pPr>
        <w:pBdr>
          <w:left w:val="single" w:color="b08d57" w:sz="12" w:space="8"/>
        </w:pBdr>
        <w:shd w:fill="f3ede3" w:val="clear"/>
        <w:spacing w:after="80" w:before="80" w:line="2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regressao-didatica/
├── index.html              ← Landing page / mapa da jornada
├── 01-correlacoes.html     ← Estágio I
├── 02-regressao-simples.html
├── 03-regressao-multipla.html
├── 04-moderacao.html
├── 05-pressupostos.html
├── referencias.html        ← Bibliografia em APA
├── README.md
└── assets/
    ├── dados.js            ← Banco N=180 embutido
    ├── stats.js            ← Biblioteca estatística JS pura
    ├── widgets-common.js   ← Régua, APA, quiz, calc N
    └── style.css           ← Estilo Cinzel/Inter</w:t>
      </w:r>
    </w:p>
    <w:p>
      <w:pPr>
        <w:spacing w:after="120" w:before="0" w:line="320"/>
        <w:jc w:val="both"/>
      </w:pPr>
      <w:r>
        <w:t xml:space="preserve">Pré-requisitos para hospedar: nenhum. É HTML/CSS/JS estático, funciona em qualquer servidor (GitHub Pages, Netlify, Vercel, Apache, Nginx) ou direto no sistema de arquivos do computador.</w:t>
      </w:r>
    </w:p>
    <w:p>
      <w:pPr>
        <w:spacing w:after="120" w:before="0" w:line="320"/>
        <w:jc w:val="both"/>
      </w:pPr>
      <w:r>
        <w:t xml:space="preserve">Cálculos estatísticos validados contra statsmodels (Python) — todos os números (correlações, β, EP, p, R², VIF, DW, BP, JB, Cook's D) batem até a terceira casa decimal.</w:t>
      </w:r>
    </w:p>
    <w:p>
      <w:pPr>
        <w:pStyle w:val="Heading1"/>
        <w:spacing w:after="160" w:before="360"/>
      </w:pPr>
      <w:r>
        <w:t xml:space="preserve">10. Referências principais</w:t>
      </w:r>
    </w:p>
    <w:p>
      <w:pPr>
        <w:spacing w:after="120" w:before="0" w:line="320"/>
        <w:jc w:val="both"/>
      </w:pPr>
      <w:r>
        <w:t xml:space="preserve">A lista completa em APA está em referencias.html. Aqui o destaque das obras mais citadas ao longo do material:</w:t>
      </w:r>
    </w:p>
    <w:p>
      <w:pPr>
        <w:spacing w:after="120" w:before="0" w:line="320"/>
        <w:jc w:val="both"/>
      </w:pPr>
      <w:r>
        <w:t xml:space="preserve">Aguinis, H., Beaty, J. C., Boik, R. J., &amp; Pierce, C. A. (2005). Effect size and power in assessing moderating effects of categorical variables using multiple regression: A 30-year review. Journal of Applied Psychology, 90(1), 94–107.</w:t>
      </w:r>
    </w:p>
    <w:p>
      <w:pPr>
        <w:spacing w:after="120" w:before="0" w:line="320"/>
        <w:jc w:val="both"/>
      </w:pPr>
      <w:r>
        <w:t xml:space="preserve">Aiken, L. S., &amp; West, S. G. (1991). Multiple regression: Testing and interpreting interactions. Sage.</w:t>
      </w:r>
    </w:p>
    <w:p>
      <w:pPr>
        <w:spacing w:after="120" w:before="0" w:line="320"/>
        <w:jc w:val="both"/>
      </w:pPr>
      <w:r>
        <w:t xml:space="preserve">Cohen, J. (1988). Statistical power analysis for the behavioral sciences (2nd ed.). Erlbaum.</w:t>
      </w:r>
    </w:p>
    <w:p>
      <w:pPr>
        <w:spacing w:after="120" w:before="0" w:line="320"/>
        <w:jc w:val="both"/>
      </w:pPr>
      <w:r>
        <w:t xml:space="preserve">Cohen, J., Cohen, P., West, S. G., &amp; Aiken, L. S. (2003). Applied multiple regression/correlation analysis for the behavioral sciences (3rd ed.). Routledge.</w:t>
      </w:r>
    </w:p>
    <w:p>
      <w:pPr>
        <w:spacing w:after="120" w:before="0" w:line="320"/>
        <w:jc w:val="both"/>
      </w:pPr>
      <w:r>
        <w:t xml:space="preserve">Field, A. (2018). Discovering statistics using IBM SPSS Statistics (5th ed.). Sage.</w:t>
      </w:r>
    </w:p>
    <w:p>
      <w:pPr>
        <w:spacing w:after="120" w:before="0" w:line="320"/>
        <w:jc w:val="both"/>
      </w:pPr>
      <w:r>
        <w:t xml:space="preserve">Green, S. B. (1991). How many subjects does it take to do a regression analysis? Multivariate Behavioral Research, 26(3), 499–510.</w:t>
      </w:r>
    </w:p>
    <w:p>
      <w:pPr>
        <w:spacing w:after="120" w:before="0" w:line="320"/>
        <w:jc w:val="both"/>
      </w:pPr>
      <w:r>
        <w:t xml:space="preserve">Hair, J. F., Black, W. C., Babin, B. J., &amp; Anderson, R. E. (2019). Multivariate data analysis (8th ed.). Cengage.</w:t>
      </w:r>
    </w:p>
    <w:p>
      <w:pPr>
        <w:spacing w:after="120" w:before="0" w:line="320"/>
        <w:jc w:val="both"/>
      </w:pPr>
      <w:r>
        <w:t xml:space="preserve">Tabachnick, B. G., &amp; Fidell, L. S. (2019). Using multivariate statistics (7th ed.). Pearson.</w:t>
      </w:r>
    </w:p>
    <w:p>
      <w:pPr>
        <w:pStyle w:val="Heading1"/>
        <w:spacing w:after="160" w:before="360"/>
      </w:pPr>
      <w:r>
        <w:t xml:space="preserve">11. Créditos e licença</w:t>
      </w:r>
    </w:p>
    <w:p>
      <w:pPr>
        <w:spacing w:after="120" w:before="0" w:line="320"/>
        <w:jc w:val="both"/>
      </w:pPr>
      <w:r>
        <w:t xml:space="preserve">Material didático aberto desenvolvido pelo Prof. Dr. Leonardo Vils para a disciplina Métodos e Técnicas de Pesquisa Quantitativa I (MTPQI) do PPGA/PPGP — Universidade Nove de Julho. Estética inspirada no Grimório de Odin Dinho. Pode ser livremente adaptado, modificado e redistribuído para fins educacionais, com atribuição.</w:t>
      </w:r>
    </w:p>
    <w:p>
      <w:pPr>
        <w:spacing w:before="480"/>
        <w:jc w:val="center"/>
      </w:pPr>
      <w:r>
        <w:rPr>
          <w:color w:val="b08d57"/>
          <w:sz w:val="28"/>
          <w:szCs w:val="28"/>
        </w:rPr>
        <w:t xml:space="preserve">✦  ✦  ✦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8"/>
        <w:szCs w:val="18"/>
      </w:rPr>
      <w:t xml:space="preserve">Página </w:t>
    </w:r>
    <w:r>
      <w:rPr>
        <w:color w:val="8a8a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8"/>
        <w:szCs w:val="18"/>
      </w:rPr>
      <w:t xml:space="preserve"> · Prof. Dr. Leonardo Vils · UNINOVE PPGA/PPGP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a8a8a"/>
        <w:sz w:val="18"/>
        <w:szCs w:val="18"/>
      </w:rPr>
      <w:t xml:space="preserve">Guia de Uso · Jornada Didática de Regressão Linear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8a6d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Uso — Jornada Didática de Regressão Linear</dc:title>
  <dc:creator>Prof. Dr. Leonardo Vils</dc:creator>
  <cp:lastModifiedBy>Un-named</cp:lastModifiedBy>
  <cp:revision>1</cp:revision>
  <dcterms:created xsi:type="dcterms:W3CDTF">2026-05-12T20:20:01.749Z</dcterms:created>
  <dcterms:modified xsi:type="dcterms:W3CDTF">2026-05-12T20:20:01.749Z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