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1E3CB">
      <w:pPr>
        <w:spacing w:line="480" w:lineRule="auto"/>
        <w:rPr>
          <w:rFonts w:hint="eastAsia" w:ascii="Times New Roman" w:hAnsi="Times New Roman" w:cs="Times New Roman"/>
          <w:sz w:val="24"/>
          <w:szCs w:val="24"/>
          <w:lang w:eastAsia="zh-CN"/>
        </w:rPr>
      </w:pPr>
      <w:r>
        <w:rPr>
          <w:rFonts w:hint="default" w:ascii="Times New Roman" w:hAnsi="Times New Roman" w:cs="Times New Roman"/>
          <w:sz w:val="24"/>
          <w:szCs w:val="24"/>
        </w:rPr>
        <w:t>This article is a population pharmacokinetics (popPK) study of fluconazole aimed at improving target attainment in critically ill patients. Overall, the research design, methodology, and presentation of results are quite comprehensive. However, there are still some aspects that may need further discussion or clarification. The following are some potential issues and areas to consider</w:t>
      </w:r>
      <w:r>
        <w:rPr>
          <w:rFonts w:hint="eastAsia" w:ascii="Times New Roman" w:hAnsi="Times New Roman" w:cs="Times New Roman"/>
          <w:sz w:val="24"/>
          <w:szCs w:val="24"/>
          <w:lang w:eastAsia="zh-CN"/>
        </w:rPr>
        <w:t>：</w:t>
      </w:r>
    </w:p>
    <w:p w14:paraId="1283AF0D">
      <w:pPr>
        <w:numPr>
          <w:ilvl w:val="0"/>
          <w:numId w:val="1"/>
        </w:numPr>
        <w:spacing w:line="48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study should indicate in the abstract section how to adjust the fluconazole dosage for ICU patients on CRRT, and for patients not on CRRT weighing more than 60 kg.</w:t>
      </w:r>
    </w:p>
    <w:p w14:paraId="3E4B70FB">
      <w:pPr>
        <w:numPr>
          <w:ilvl w:val="0"/>
          <w:numId w:val="1"/>
        </w:numPr>
        <w:spacing w:line="48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w:t>
      </w:r>
      <w:r>
        <w:rPr>
          <w:rFonts w:hint="default" w:ascii="Times New Roman" w:hAnsi="Times New Roman" w:cs="Times New Roman"/>
          <w:sz w:val="24"/>
          <w:szCs w:val="24"/>
          <w:lang w:val="en-US" w:eastAsia="zh-CN"/>
        </w:rPr>
        <w:t>he study integrates data from eight different studies, which increases the sample size but may introduce heterogeneity. Differences in patient selection, sampling times, and analytical methods across these studies could affect the homogeneity of the data and the reliability of the results. For example, the recording of CRRT (continuous renal replacement therapy) types and parameters may not be consistent across studies.</w:t>
      </w:r>
      <w:r>
        <w:rPr>
          <w:rFonts w:hint="eastAsia" w:ascii="Times New Roman" w:hAnsi="Times New Roman" w:cs="Times New Roman"/>
          <w:sz w:val="24"/>
          <w:szCs w:val="24"/>
          <w:lang w:val="en-US" w:eastAsia="zh-CN"/>
        </w:rPr>
        <w:t xml:space="preserve"> This should be discussed in the limitations part of the study.</w:t>
      </w:r>
    </w:p>
    <w:p w14:paraId="5AE8A37C">
      <w:pPr>
        <w:numPr>
          <w:ilvl w:val="0"/>
          <w:numId w:val="1"/>
        </w:numPr>
        <w:spacing w:line="48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Covariate Handling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While stepwise covariate modeling was used to select significant covariates, the interactions between these covariates (e.g., between CRRT status and eGFR) may not have been fully considered. Additionally, the handling of missing data (e.g., through multiple imputation) is reasonable but may introduce additional uncertainty.</w:t>
      </w:r>
    </w:p>
    <w:p w14:paraId="5F3628EB">
      <w:pPr>
        <w:numPr>
          <w:ilvl w:val="0"/>
          <w:numId w:val="1"/>
        </w:numPr>
        <w:spacing w:line="48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Threshold Setting for Target Attainment (PTA)</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Although the study set </w:t>
      </w:r>
      <w:r>
        <w:rPr>
          <w:rFonts w:hint="default" w:ascii="Times New Roman" w:hAnsi="Times New Roman" w:cs="Times New Roman"/>
          <w:i/>
          <w:iCs/>
          <w:sz w:val="24"/>
          <w:szCs w:val="24"/>
          <w:lang w:val="en-US" w:eastAsia="zh-CN"/>
        </w:rPr>
        <w:t>f</w:t>
      </w:r>
      <w:r>
        <w:rPr>
          <w:rFonts w:hint="default" w:ascii="Times New Roman" w:hAnsi="Times New Roman" w:cs="Times New Roman"/>
          <w:sz w:val="24"/>
          <w:szCs w:val="24"/>
          <w:lang w:val="en-US" w:eastAsia="zh-CN"/>
        </w:rPr>
        <w:t>AUC</w:t>
      </w:r>
      <w:r>
        <w:rPr>
          <w:rFonts w:hint="default" w:ascii="Times New Roman" w:hAnsi="Times New Roman" w:cs="Times New Roman"/>
          <w:sz w:val="24"/>
          <w:szCs w:val="24"/>
          <w:vertAlign w:val="subscript"/>
          <w:lang w:val="en-US" w:eastAsia="zh-CN"/>
        </w:rPr>
        <w:t>0-24</w:t>
      </w:r>
      <w:r>
        <w:rPr>
          <w:rFonts w:hint="default" w:ascii="Times New Roman" w:hAnsi="Times New Roman" w:cs="Times New Roman"/>
          <w:sz w:val="24"/>
          <w:szCs w:val="24"/>
          <w:lang w:val="en-US" w:eastAsia="zh-CN"/>
        </w:rPr>
        <w:t>/MIC= 100 as the target, the MICs of different strains may vary significantly in clinical practice, which could affect the practical significance of the target attainment rate. Moreover, for strains with higher MICs (e.g., MIC = 4 mg/L), the proposed dosing regimen may not be sufficient to achieve the target.</w:t>
      </w:r>
    </w:p>
    <w:p w14:paraId="2FBBFD58">
      <w:pPr>
        <w:numPr>
          <w:ilvl w:val="0"/>
          <w:numId w:val="1"/>
        </w:numPr>
        <w:spacing w:line="48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Feasibility of Dose Adjustment: The study proposes an optimized dosing regimen based on patient total body weight and CRRT status, but frequent dose adjustments may be challenging in actual clinical practice, especially in the ICU setting where patients' conditions and physiological parameters can change rapidly.</w:t>
      </w:r>
    </w:p>
    <w:p w14:paraId="06D3C762">
      <w:pPr>
        <w:numPr>
          <w:ilvl w:val="0"/>
          <w:numId w:val="1"/>
        </w:numPr>
        <w:spacing w:line="48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authors stated in the Results section: "The standard loading dose did not result in clinically acceptable PTA of ≥90% when total body weight exceeded 65 kg and 30 kg, in patients off and on CRRT, respectively." However, in the Abstract, they mentioned: "</w:t>
      </w:r>
      <w:r>
        <w:rPr>
          <w:rFonts w:hint="eastAsia" w:ascii="Times New Roman" w:hAnsi="Times New Roman" w:cs="Times New Roman"/>
          <w:sz w:val="24"/>
          <w:szCs w:val="24"/>
          <w:lang w:val="en-US" w:eastAsia="zh-CN"/>
        </w:rPr>
        <w:t>W</w:t>
      </w:r>
      <w:r>
        <w:rPr>
          <w:rFonts w:hint="default" w:ascii="Times New Roman" w:hAnsi="Times New Roman" w:cs="Times New Roman"/>
          <w:sz w:val="24"/>
          <w:szCs w:val="24"/>
          <w:lang w:val="en-US" w:eastAsia="zh-CN"/>
        </w:rPr>
        <w:t>ith standard dosing, only CRRT status and total body weight were clinically relevant, as PTA dropped below</w:t>
      </w:r>
      <w:bookmarkStart w:id="0" w:name="_GoBack"/>
      <w:bookmarkEnd w:id="0"/>
      <w:r>
        <w:rPr>
          <w:rFonts w:hint="default" w:ascii="Times New Roman" w:hAnsi="Times New Roman" w:cs="Times New Roman"/>
          <w:sz w:val="24"/>
          <w:szCs w:val="24"/>
          <w:lang w:val="en-US" w:eastAsia="zh-CN"/>
        </w:rPr>
        <w:t xml:space="preserve"> 90% for all patients on CRRT, and for patients not on CRRT weighing more than 60 kg." The authors should clarify whether it is 60 kg or 65 kg, and ensure consistency between the two sections.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D77BE"/>
    <w:multiLevelType w:val="singleLevel"/>
    <w:tmpl w:val="A18D77B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F165FA"/>
    <w:rsid w:val="0DB55A7E"/>
    <w:rsid w:val="10A83678"/>
    <w:rsid w:val="13426006"/>
    <w:rsid w:val="136715C8"/>
    <w:rsid w:val="17F165FA"/>
    <w:rsid w:val="24572FDD"/>
    <w:rsid w:val="28290FF3"/>
    <w:rsid w:val="390207FE"/>
    <w:rsid w:val="54C751A2"/>
    <w:rsid w:val="554A6079"/>
    <w:rsid w:val="64CF659A"/>
    <w:rsid w:val="65D06126"/>
    <w:rsid w:val="7C2D5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numbering.xml" Type="http://schemas.openxmlformats.org/officeDocument/2006/relationships/numbering"/><Relationship Id="rId5" Target="fontTable.xml" Type="http://schemas.openxmlformats.org/officeDocument/2006/relationships/fontTabl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2025-06-24T11:57:00Z</dcterms:created>
  <dcterms:modified xsi:type="dcterms:W3CDTF">2025-06-24T12:18:54Z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8B9FCED6E49A4B76972C37B143D89B6F_11</vt:lpwstr>
  </property>
  <property fmtid="{D5CDD505-2E9C-101B-9397-08002B2CF9AE}" pid="4" name="KSOTemplateDocerSaveRecord">
    <vt:lpwstr>eyJoZGlkIjoiZTA4MzAxOGMzZjVkYzRjZjQ0ODk1NGY0NGRhZmRlYmUiLCJ1c2VySWQiOiI0MTAxMDk5MzUifQ==</vt:lpwstr>
  </property>
</Properties>
</file>