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D81EC" w14:textId="3CBF6695" w:rsidR="00C11BAA" w:rsidRPr="00EF3AE6" w:rsidRDefault="00E84AAD" w:rsidP="00EF3AE6">
      <w:pPr>
        <w:snapToGrid w:val="0"/>
        <w:spacing w:before="120" w:line="240" w:lineRule="auto"/>
        <w:jc w:val="both"/>
        <w:rPr>
          <w:rFonts w:ascii="Calibri" w:hAnsi="Calibri" w:cs="Calibri"/>
        </w:rPr>
      </w:pPr>
      <w:r w:rsidRPr="00B92FB5">
        <w:rPr>
          <w:rFonts w:ascii="Calibri" w:hAnsi="Calibri" w:cs="Calibri"/>
        </w:rPr>
        <w:t>We thank the Editor and the Reviewer for their constructive comments and suggestions</w:t>
      </w:r>
      <w:r w:rsidR="00DF2395" w:rsidRPr="00B92FB5">
        <w:rPr>
          <w:rFonts w:ascii="Calibri" w:hAnsi="Calibri" w:cs="Calibri"/>
        </w:rPr>
        <w:t xml:space="preserve"> which </w:t>
      </w:r>
      <w:r w:rsidR="00237637" w:rsidRPr="00B92FB5">
        <w:rPr>
          <w:rFonts w:ascii="Calibri" w:hAnsi="Calibri" w:cs="Calibri"/>
        </w:rPr>
        <w:t>we</w:t>
      </w:r>
      <w:r w:rsidRPr="00B92FB5">
        <w:rPr>
          <w:rFonts w:ascii="Calibri" w:hAnsi="Calibri" w:cs="Calibri"/>
        </w:rPr>
        <w:t xml:space="preserve"> have addressed below.</w:t>
      </w:r>
      <w:r w:rsidR="00281E43" w:rsidRPr="00B92FB5">
        <w:rPr>
          <w:rFonts w:ascii="Calibri" w:hAnsi="Calibri" w:cs="Calibri"/>
        </w:rPr>
        <w:t xml:space="preserve"> </w:t>
      </w:r>
      <w:r w:rsidRPr="00B92FB5">
        <w:rPr>
          <w:rFonts w:ascii="Calibri" w:hAnsi="Calibri" w:cs="Calibri"/>
        </w:rPr>
        <w:t>Modifications are indicated in the “</w:t>
      </w:r>
      <w:r w:rsidR="002A2B31" w:rsidRPr="00B92FB5">
        <w:rPr>
          <w:rFonts w:ascii="Calibri" w:hAnsi="Calibri" w:cs="Calibri"/>
          <w:b/>
          <w:bCs/>
        </w:rPr>
        <w:t>Ma</w:t>
      </w:r>
      <w:r w:rsidR="008D24A7" w:rsidRPr="00B92FB5">
        <w:rPr>
          <w:rFonts w:ascii="Calibri" w:hAnsi="Calibri" w:cs="Calibri"/>
          <w:b/>
          <w:bCs/>
        </w:rPr>
        <w:t>nuscript</w:t>
      </w:r>
      <w:r w:rsidR="002A2B31" w:rsidRPr="00B92FB5">
        <w:rPr>
          <w:rFonts w:ascii="Calibri" w:hAnsi="Calibri" w:cs="Calibri"/>
          <w:b/>
          <w:bCs/>
        </w:rPr>
        <w:t>_track</w:t>
      </w:r>
      <w:r w:rsidR="000F5DA0">
        <w:rPr>
          <w:rFonts w:ascii="Calibri" w:hAnsi="Calibri" w:cs="Calibri"/>
          <w:b/>
          <w:bCs/>
        </w:rPr>
        <w:t>_changes</w:t>
      </w:r>
      <w:r w:rsidRPr="00B92FB5">
        <w:rPr>
          <w:rFonts w:ascii="Calibri" w:hAnsi="Calibri" w:cs="Calibri"/>
          <w:b/>
          <w:bCs/>
        </w:rPr>
        <w:t>.docx</w:t>
      </w:r>
      <w:r w:rsidRPr="00B92FB5">
        <w:rPr>
          <w:rFonts w:ascii="Calibri" w:hAnsi="Calibri" w:cs="Calibri"/>
        </w:rPr>
        <w:t xml:space="preserve">” </w:t>
      </w:r>
      <w:r w:rsidR="00DF2395" w:rsidRPr="00B92FB5">
        <w:rPr>
          <w:rFonts w:ascii="Calibri" w:hAnsi="Calibri" w:cs="Calibri"/>
        </w:rPr>
        <w:t xml:space="preserve">document </w:t>
      </w:r>
      <w:r w:rsidRPr="00B92FB5">
        <w:rPr>
          <w:rFonts w:ascii="Calibri" w:hAnsi="Calibri" w:cs="Calibri"/>
        </w:rPr>
        <w:t>using track changes.</w:t>
      </w:r>
      <w:r w:rsidR="00281E43" w:rsidRPr="00B92FB5">
        <w:rPr>
          <w:rFonts w:ascii="Calibri" w:hAnsi="Calibri" w:cs="Calibri"/>
        </w:rPr>
        <w:t xml:space="preserve"> </w:t>
      </w:r>
      <w:r w:rsidR="00BD5D71" w:rsidRPr="00B92FB5">
        <w:rPr>
          <w:rFonts w:ascii="Calibri" w:hAnsi="Calibri" w:cs="Calibri"/>
        </w:rPr>
        <w:t>In our answers below, we refer to the corresponding page and line numbers in the “All Markup” display of the tracked document.</w:t>
      </w:r>
    </w:p>
    <w:p w14:paraId="38C6C91C" w14:textId="77777777" w:rsidR="00B92FB5" w:rsidRDefault="00D91FCF" w:rsidP="00723BA6">
      <w:pPr>
        <w:shd w:val="clear" w:color="auto" w:fill="FFFFFF"/>
        <w:snapToGrid w:val="0"/>
        <w:spacing w:before="120" w:after="0" w:line="240" w:lineRule="auto"/>
        <w:jc w:val="both"/>
        <w:rPr>
          <w:rFonts w:ascii="Calibri" w:eastAsia="Times New Roman" w:hAnsi="Calibri" w:cs="Calibri"/>
          <w:b/>
          <w:bCs/>
          <w:color w:val="212121"/>
          <w:lang w:val="en-US" w:eastAsia="nl-BE"/>
        </w:rPr>
      </w:pPr>
      <w:r w:rsidRPr="00B92FB5">
        <w:rPr>
          <w:rFonts w:ascii="Calibri" w:eastAsia="Times New Roman" w:hAnsi="Calibri" w:cs="Calibri"/>
          <w:b/>
          <w:bCs/>
          <w:color w:val="212121"/>
          <w:lang w:val="en-US" w:eastAsia="nl-BE"/>
        </w:rPr>
        <w:t>Reviewer #1:</w:t>
      </w:r>
    </w:p>
    <w:p w14:paraId="25BF0BC4" w14:textId="7153D95D" w:rsidR="001B1DB3" w:rsidRPr="00B92FB5" w:rsidRDefault="00E9327A" w:rsidP="00723BA6">
      <w:pPr>
        <w:shd w:val="clear" w:color="auto" w:fill="FFFFFF"/>
        <w:snapToGrid w:val="0"/>
        <w:spacing w:before="120" w:after="0" w:line="240" w:lineRule="auto"/>
        <w:jc w:val="both"/>
        <w:rPr>
          <w:rFonts w:ascii="Calibri" w:eastAsia="Times New Roman" w:hAnsi="Calibri" w:cs="Calibri"/>
          <w:b/>
          <w:bCs/>
          <w:i/>
          <w:iCs/>
          <w:color w:val="212121"/>
          <w:lang w:val="en-US" w:eastAsia="nl-BE"/>
        </w:rPr>
      </w:pPr>
      <w:r w:rsidRPr="00B92FB5">
        <w:rPr>
          <w:rFonts w:ascii="Calibri" w:eastAsia="Times New Roman" w:hAnsi="Calibri" w:cs="Calibri"/>
          <w:b/>
          <w:bCs/>
          <w:i/>
          <w:iCs/>
          <w:color w:val="212121"/>
          <w:lang w:val="en-US" w:eastAsia="nl-BE"/>
        </w:rPr>
        <w:t>Major points</w:t>
      </w:r>
    </w:p>
    <w:p w14:paraId="4BB4BC55" w14:textId="77777777" w:rsidR="004B6B69" w:rsidRDefault="00AF0F47" w:rsidP="004B6B69">
      <w:pPr>
        <w:pStyle w:val="ListParagraph"/>
        <w:numPr>
          <w:ilvl w:val="0"/>
          <w:numId w:val="11"/>
        </w:numPr>
        <w:shd w:val="clear" w:color="auto" w:fill="FFFFFF"/>
        <w:snapToGrid w:val="0"/>
        <w:spacing w:before="120" w:after="0" w:line="240" w:lineRule="auto"/>
        <w:contextualSpacing w:val="0"/>
        <w:jc w:val="both"/>
        <w:rPr>
          <w:rFonts w:ascii="Calibri" w:eastAsia="Times New Roman" w:hAnsi="Calibri" w:cs="Calibri"/>
          <w:color w:val="212121"/>
          <w:lang w:val="en-US" w:eastAsia="nl-BE"/>
        </w:rPr>
      </w:pPr>
      <w:r w:rsidRPr="00B92FB5">
        <w:rPr>
          <w:rFonts w:ascii="Calibri" w:eastAsia="Times New Roman" w:hAnsi="Calibri" w:cs="Calibri"/>
          <w:color w:val="212121"/>
          <w:lang w:val="en-US" w:eastAsia="nl-BE"/>
        </w:rPr>
        <w:t xml:space="preserve">As the authors pointed out there are not enough data from exposure-outcome relationship studies to identify drug concentrations to target for </w:t>
      </w:r>
      <w:proofErr w:type="spellStart"/>
      <w:r w:rsidRPr="00B92FB5">
        <w:rPr>
          <w:rFonts w:ascii="Calibri" w:eastAsia="Times New Roman" w:hAnsi="Calibri" w:cs="Calibri"/>
          <w:color w:val="212121"/>
          <w:lang w:val="en-US" w:eastAsia="nl-BE"/>
        </w:rPr>
        <w:t>sc</w:t>
      </w:r>
      <w:proofErr w:type="spellEnd"/>
      <w:r w:rsidRPr="00B92FB5">
        <w:rPr>
          <w:rFonts w:ascii="Calibri" w:eastAsia="Times New Roman" w:hAnsi="Calibri" w:cs="Calibri"/>
          <w:color w:val="212121"/>
          <w:lang w:val="en-US" w:eastAsia="nl-BE"/>
        </w:rPr>
        <w:t xml:space="preserve"> infliximab or vedolizumab. There is also not enough data if </w:t>
      </w:r>
      <w:proofErr w:type="spellStart"/>
      <w:r w:rsidRPr="00B92FB5">
        <w:rPr>
          <w:rFonts w:ascii="Calibri" w:eastAsia="Times New Roman" w:hAnsi="Calibri" w:cs="Calibri"/>
          <w:color w:val="212121"/>
          <w:lang w:val="en-US" w:eastAsia="nl-BE"/>
        </w:rPr>
        <w:t>Ctrough</w:t>
      </w:r>
      <w:proofErr w:type="spellEnd"/>
      <w:r w:rsidRPr="00B92FB5">
        <w:rPr>
          <w:rFonts w:ascii="Calibri" w:eastAsia="Times New Roman" w:hAnsi="Calibri" w:cs="Calibri"/>
          <w:color w:val="212121"/>
          <w:lang w:val="en-US" w:eastAsia="nl-BE"/>
        </w:rPr>
        <w:t xml:space="preserve"> or AUC is the most important for achieving favorable therapeutic outcomes. Data from a recent publication (PMID: 35869807) should be discussed.</w:t>
      </w:r>
    </w:p>
    <w:p w14:paraId="30506D35" w14:textId="1E536169" w:rsidR="0038296B" w:rsidRPr="004B6B69" w:rsidRDefault="0038296B" w:rsidP="004B6B69">
      <w:pPr>
        <w:pStyle w:val="ListParagraph"/>
        <w:shd w:val="clear" w:color="auto" w:fill="FFFFFF"/>
        <w:snapToGrid w:val="0"/>
        <w:spacing w:before="120" w:after="0" w:line="240" w:lineRule="auto"/>
        <w:ind w:left="357" w:firstLine="720"/>
        <w:contextualSpacing w:val="0"/>
        <w:jc w:val="both"/>
        <w:rPr>
          <w:rFonts w:ascii="Calibri" w:eastAsia="Times New Roman" w:hAnsi="Calibri" w:cs="Calibri"/>
          <w:color w:val="212121"/>
          <w:lang w:val="en-US" w:eastAsia="nl-BE"/>
        </w:rPr>
      </w:pPr>
      <w:r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We are </w:t>
      </w:r>
      <w:r w:rsidR="00780D6C" w:rsidRPr="004B6B69">
        <w:rPr>
          <w:rFonts w:ascii="Calibri" w:eastAsia="Times New Roman" w:hAnsi="Calibri" w:cs="Calibri"/>
          <w:color w:val="212121"/>
          <w:lang w:val="en-US" w:eastAsia="nl-BE"/>
        </w:rPr>
        <w:t>happy</w:t>
      </w:r>
      <w:r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to see how </w:t>
      </w:r>
      <w:r w:rsidR="005F0E87" w:rsidRPr="004B6B69">
        <w:rPr>
          <w:rFonts w:ascii="Calibri" w:eastAsia="Times New Roman" w:hAnsi="Calibri" w:cs="Calibri"/>
          <w:color w:val="212121"/>
          <w:lang w:val="en-US" w:eastAsia="nl-BE"/>
        </w:rPr>
        <w:t>the emerging real-world data</w:t>
      </w:r>
      <w:r w:rsidR="004969D6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, including those of </w:t>
      </w:r>
      <w:proofErr w:type="spellStart"/>
      <w:r w:rsidR="004969D6" w:rsidRPr="004B6B69">
        <w:rPr>
          <w:rFonts w:ascii="Calibri" w:eastAsia="Times New Roman" w:hAnsi="Calibri" w:cs="Calibri"/>
          <w:color w:val="212121"/>
          <w:lang w:val="en-US" w:eastAsia="nl-BE"/>
        </w:rPr>
        <w:t>Volkers</w:t>
      </w:r>
      <w:proofErr w:type="spellEnd"/>
      <w:r w:rsidR="004969D6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</w:t>
      </w:r>
      <w:r w:rsidR="004969D6" w:rsidRPr="004B6B69">
        <w:rPr>
          <w:rFonts w:ascii="Calibri" w:eastAsia="Times New Roman" w:hAnsi="Calibri" w:cs="Calibri"/>
          <w:i/>
          <w:iCs/>
          <w:color w:val="212121"/>
          <w:lang w:val="en-US" w:eastAsia="nl-BE"/>
        </w:rPr>
        <w:t>et al</w:t>
      </w:r>
      <w:r w:rsidR="004969D6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., nicely align with our </w:t>
      </w:r>
      <w:proofErr w:type="spellStart"/>
      <w:r w:rsidR="004969D6" w:rsidRPr="004B6B69">
        <w:rPr>
          <w:rFonts w:ascii="Calibri" w:eastAsia="Times New Roman" w:hAnsi="Calibri" w:cs="Calibri"/>
          <w:color w:val="212121"/>
          <w:lang w:val="en-US" w:eastAsia="nl-BE"/>
        </w:rPr>
        <w:t>popPK</w:t>
      </w:r>
      <w:proofErr w:type="spellEnd"/>
      <w:r w:rsidR="004969D6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predictions.</w:t>
      </w:r>
      <w:r w:rsidR="005F0E87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</w:t>
      </w:r>
      <w:r w:rsidR="00F17A93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These data demonstrate the power of </w:t>
      </w:r>
      <w:r w:rsidR="00F17A93" w:rsidRPr="004B6B69">
        <w:rPr>
          <w:rFonts w:ascii="Calibri" w:eastAsia="Times New Roman" w:hAnsi="Calibri" w:cs="Calibri"/>
          <w:i/>
          <w:iCs/>
          <w:color w:val="212121"/>
          <w:lang w:val="en-US" w:eastAsia="nl-BE"/>
        </w:rPr>
        <w:t>in silico</w:t>
      </w:r>
      <w:r w:rsidR="00F17A93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research tools. Furthermore, </w:t>
      </w:r>
      <w:proofErr w:type="spellStart"/>
      <w:r w:rsidR="00F17A93" w:rsidRPr="004B6B69">
        <w:rPr>
          <w:rFonts w:ascii="Calibri" w:eastAsia="Times New Roman" w:hAnsi="Calibri" w:cs="Calibri"/>
          <w:color w:val="212121"/>
          <w:lang w:val="en-US" w:eastAsia="nl-BE"/>
        </w:rPr>
        <w:t>Volkers</w:t>
      </w:r>
      <w:proofErr w:type="spellEnd"/>
      <w:r w:rsidR="00F17A93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</w:t>
      </w:r>
      <w:r w:rsidR="00F17A93" w:rsidRPr="004B6B69">
        <w:rPr>
          <w:rFonts w:ascii="Calibri" w:eastAsia="Times New Roman" w:hAnsi="Calibri" w:cs="Calibri"/>
          <w:i/>
          <w:iCs/>
          <w:color w:val="212121"/>
          <w:lang w:val="en-US" w:eastAsia="nl-BE"/>
        </w:rPr>
        <w:t>et al</w:t>
      </w:r>
      <w:r w:rsidR="00F17A93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. also </w:t>
      </w:r>
      <w:r w:rsidR="00B024C5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identified exposure-response relationships </w:t>
      </w:r>
      <w:r w:rsidR="006B0AD0" w:rsidRPr="004B6B69">
        <w:rPr>
          <w:rFonts w:ascii="Calibri" w:eastAsia="Times New Roman" w:hAnsi="Calibri" w:cs="Calibri"/>
          <w:color w:val="212121"/>
          <w:lang w:val="en-US" w:eastAsia="nl-BE"/>
        </w:rPr>
        <w:t>during</w:t>
      </w:r>
      <w:r w:rsidR="00B024C5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SC vedolizumab dosing. </w:t>
      </w:r>
      <w:r w:rsidR="007938CD" w:rsidRPr="004B6B69">
        <w:rPr>
          <w:rFonts w:ascii="Calibri" w:eastAsia="Times New Roman" w:hAnsi="Calibri" w:cs="Calibri"/>
          <w:color w:val="212121"/>
          <w:lang w:val="en-US" w:eastAsia="nl-BE"/>
        </w:rPr>
        <w:t>Despite</w:t>
      </w:r>
      <w:r w:rsidR="00114BFA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</w:t>
      </w:r>
      <w:r w:rsidR="007938CD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word limit restrictions, we could add </w:t>
      </w:r>
      <w:r w:rsidR="00E83E3F" w:rsidRPr="004B6B69">
        <w:rPr>
          <w:rFonts w:ascii="Calibri" w:eastAsia="Times New Roman" w:hAnsi="Calibri" w:cs="Calibri"/>
          <w:color w:val="212121"/>
          <w:lang w:val="en-US" w:eastAsia="nl-BE"/>
        </w:rPr>
        <w:t>one sentenc</w:t>
      </w:r>
      <w:r w:rsidR="00484979" w:rsidRPr="004B6B69">
        <w:rPr>
          <w:rFonts w:ascii="Calibri" w:eastAsia="Times New Roman" w:hAnsi="Calibri" w:cs="Calibri"/>
          <w:color w:val="212121"/>
          <w:lang w:val="en-US" w:eastAsia="nl-BE"/>
        </w:rPr>
        <w:t>e</w:t>
      </w:r>
      <w:r w:rsidR="00E83E3F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into the manuscript (lines </w:t>
      </w:r>
      <w:r w:rsidR="00780A87" w:rsidRPr="004B6B69">
        <w:rPr>
          <w:rFonts w:ascii="Calibri" w:eastAsia="Times New Roman" w:hAnsi="Calibri" w:cs="Calibri"/>
          <w:color w:val="212121"/>
          <w:lang w:val="en-US" w:eastAsia="nl-BE"/>
        </w:rPr>
        <w:t>71-72</w:t>
      </w:r>
      <w:r w:rsidR="00E83E3F" w:rsidRPr="004B6B69">
        <w:rPr>
          <w:rFonts w:ascii="Calibri" w:eastAsia="Times New Roman" w:hAnsi="Calibri" w:cs="Calibri"/>
          <w:color w:val="212121"/>
          <w:lang w:val="en-US" w:eastAsia="nl-BE"/>
        </w:rPr>
        <w:t>)</w:t>
      </w:r>
      <w:r w:rsidR="00475A7D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, referring to the important paper by </w:t>
      </w:r>
      <w:proofErr w:type="spellStart"/>
      <w:r w:rsidR="00475A7D" w:rsidRPr="004B6B69">
        <w:rPr>
          <w:rFonts w:ascii="Calibri" w:eastAsia="Times New Roman" w:hAnsi="Calibri" w:cs="Calibri"/>
          <w:color w:val="212121"/>
          <w:lang w:val="en-US" w:eastAsia="nl-BE"/>
        </w:rPr>
        <w:t>Volkers</w:t>
      </w:r>
      <w:proofErr w:type="spellEnd"/>
      <w:r w:rsidR="00475A7D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</w:t>
      </w:r>
      <w:r w:rsidR="00475A7D" w:rsidRPr="004B6B69">
        <w:rPr>
          <w:rFonts w:ascii="Calibri" w:eastAsia="Times New Roman" w:hAnsi="Calibri" w:cs="Calibri"/>
          <w:i/>
          <w:iCs/>
          <w:color w:val="212121"/>
          <w:lang w:val="en-US" w:eastAsia="nl-BE"/>
        </w:rPr>
        <w:t>et al</w:t>
      </w:r>
      <w:r w:rsidR="00475A7D" w:rsidRPr="004B6B69">
        <w:rPr>
          <w:rFonts w:ascii="Calibri" w:eastAsia="Times New Roman" w:hAnsi="Calibri" w:cs="Calibri"/>
          <w:color w:val="212121"/>
          <w:lang w:val="en-US" w:eastAsia="nl-BE"/>
        </w:rPr>
        <w:t>.</w:t>
      </w:r>
      <w:r w:rsidR="00484979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(reference 8).</w:t>
      </w:r>
    </w:p>
    <w:p w14:paraId="0640DD87" w14:textId="77777777" w:rsidR="004B6B69" w:rsidRDefault="00DF5832" w:rsidP="004B6B69">
      <w:pPr>
        <w:pStyle w:val="ListParagraph"/>
        <w:numPr>
          <w:ilvl w:val="0"/>
          <w:numId w:val="11"/>
        </w:numPr>
        <w:shd w:val="clear" w:color="auto" w:fill="FFFFFF"/>
        <w:snapToGrid w:val="0"/>
        <w:spacing w:before="120" w:after="0" w:line="240" w:lineRule="auto"/>
        <w:contextualSpacing w:val="0"/>
        <w:jc w:val="both"/>
        <w:rPr>
          <w:rFonts w:ascii="Calibri" w:eastAsia="Times New Roman" w:hAnsi="Calibri" w:cs="Calibri"/>
          <w:color w:val="212121"/>
          <w:lang w:val="en-US" w:eastAsia="nl-BE"/>
        </w:rPr>
      </w:pPr>
      <w:r w:rsidRPr="00B92FB5">
        <w:rPr>
          <w:rFonts w:ascii="Calibri" w:eastAsia="Times New Roman" w:hAnsi="Calibri" w:cs="Calibri"/>
          <w:color w:val="212121"/>
          <w:lang w:val="en-US" w:eastAsia="nl-BE"/>
        </w:rPr>
        <w:t xml:space="preserve">A referral to immunogenicity issues and the potential impact to the pharmacokinetics (PK) of </w:t>
      </w:r>
      <w:proofErr w:type="spellStart"/>
      <w:r w:rsidRPr="00B92FB5">
        <w:rPr>
          <w:rFonts w:ascii="Calibri" w:eastAsia="Times New Roman" w:hAnsi="Calibri" w:cs="Calibri"/>
          <w:color w:val="212121"/>
          <w:lang w:val="en-US" w:eastAsia="nl-BE"/>
        </w:rPr>
        <w:t>sc</w:t>
      </w:r>
      <w:proofErr w:type="spellEnd"/>
      <w:r w:rsidRPr="00B92FB5">
        <w:rPr>
          <w:rFonts w:ascii="Calibri" w:eastAsia="Times New Roman" w:hAnsi="Calibri" w:cs="Calibri"/>
          <w:color w:val="212121"/>
          <w:lang w:val="en-US" w:eastAsia="nl-BE"/>
        </w:rPr>
        <w:t xml:space="preserve"> infliximab or vedolizumab would be useful.</w:t>
      </w:r>
    </w:p>
    <w:p w14:paraId="0DCAFCB8" w14:textId="19C3C3F2" w:rsidR="00E9327A" w:rsidRPr="004B6B69" w:rsidRDefault="00735700" w:rsidP="004B6B69">
      <w:pPr>
        <w:pStyle w:val="ListParagraph"/>
        <w:shd w:val="clear" w:color="auto" w:fill="FFFFFF"/>
        <w:snapToGrid w:val="0"/>
        <w:spacing w:before="120" w:after="0" w:line="240" w:lineRule="auto"/>
        <w:ind w:left="357" w:firstLine="720"/>
        <w:contextualSpacing w:val="0"/>
        <w:jc w:val="both"/>
        <w:rPr>
          <w:rFonts w:ascii="Calibri" w:eastAsia="Times New Roman" w:hAnsi="Calibri" w:cs="Calibri"/>
          <w:color w:val="212121"/>
          <w:lang w:val="en-US" w:eastAsia="nl-BE"/>
        </w:rPr>
      </w:pPr>
      <w:r w:rsidRPr="004B6B69">
        <w:rPr>
          <w:rFonts w:ascii="Calibri" w:eastAsia="Times New Roman" w:hAnsi="Calibri" w:cs="Calibri"/>
          <w:color w:val="212121"/>
          <w:lang w:val="en-US" w:eastAsia="nl-BE"/>
        </w:rPr>
        <w:t>We agree</w:t>
      </w:r>
      <w:r w:rsidR="00EB6A3C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with the Reviewer that immunogenicity cannot be ignored when talking about the PK of monoclonal antibodies. Despite the word limit restrictions, we </w:t>
      </w:r>
      <w:r w:rsidR="00D272D2" w:rsidRPr="004B6B69">
        <w:rPr>
          <w:rFonts w:ascii="Calibri" w:eastAsia="Times New Roman" w:hAnsi="Calibri" w:cs="Calibri"/>
          <w:color w:val="212121"/>
          <w:lang w:val="en-US" w:eastAsia="nl-BE"/>
        </w:rPr>
        <w:t>managed to mention this in the manuscript (lines</w:t>
      </w:r>
      <w:r w:rsidR="009333EB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</w:t>
      </w:r>
      <w:r w:rsidR="008E5A2B" w:rsidRPr="004B6B69">
        <w:rPr>
          <w:rFonts w:ascii="Calibri" w:eastAsia="Times New Roman" w:hAnsi="Calibri" w:cs="Calibri"/>
          <w:color w:val="212121"/>
          <w:lang w:val="en-US" w:eastAsia="nl-BE"/>
        </w:rPr>
        <w:t>72-75</w:t>
      </w:r>
      <w:r w:rsidR="00D272D2" w:rsidRPr="004B6B69">
        <w:rPr>
          <w:rFonts w:ascii="Calibri" w:eastAsia="Times New Roman" w:hAnsi="Calibri" w:cs="Calibri"/>
          <w:color w:val="212121"/>
          <w:lang w:val="en-US" w:eastAsia="nl-BE"/>
        </w:rPr>
        <w:t>).</w:t>
      </w:r>
    </w:p>
    <w:p w14:paraId="4566EA2C" w14:textId="77777777" w:rsidR="004B6B69" w:rsidRDefault="00347773" w:rsidP="004B6B69">
      <w:pPr>
        <w:pStyle w:val="ListParagraph"/>
        <w:numPr>
          <w:ilvl w:val="0"/>
          <w:numId w:val="11"/>
        </w:numPr>
        <w:shd w:val="clear" w:color="auto" w:fill="FFFFFF"/>
        <w:snapToGrid w:val="0"/>
        <w:spacing w:before="120" w:after="0" w:line="240" w:lineRule="auto"/>
        <w:contextualSpacing w:val="0"/>
        <w:jc w:val="both"/>
        <w:rPr>
          <w:rFonts w:ascii="Calibri" w:eastAsia="Times New Roman" w:hAnsi="Calibri" w:cs="Calibri"/>
          <w:color w:val="212121"/>
          <w:lang w:val="en-US" w:eastAsia="nl-BE"/>
        </w:rPr>
      </w:pPr>
      <w:r w:rsidRPr="00B92FB5">
        <w:rPr>
          <w:rFonts w:ascii="Calibri" w:eastAsia="Times New Roman" w:hAnsi="Calibri" w:cs="Calibri"/>
          <w:color w:val="212121"/>
          <w:lang w:val="en-US" w:eastAsia="nl-BE"/>
        </w:rPr>
        <w:t xml:space="preserve">Are there any data suggesting that PK of </w:t>
      </w:r>
      <w:proofErr w:type="spellStart"/>
      <w:r w:rsidRPr="00B92FB5">
        <w:rPr>
          <w:rFonts w:ascii="Calibri" w:eastAsia="Times New Roman" w:hAnsi="Calibri" w:cs="Calibri"/>
          <w:color w:val="212121"/>
          <w:lang w:val="en-US" w:eastAsia="nl-BE"/>
        </w:rPr>
        <w:t>sc</w:t>
      </w:r>
      <w:proofErr w:type="spellEnd"/>
      <w:r w:rsidRPr="00B92FB5">
        <w:rPr>
          <w:rFonts w:ascii="Calibri" w:eastAsia="Times New Roman" w:hAnsi="Calibri" w:cs="Calibri"/>
          <w:color w:val="212121"/>
          <w:lang w:val="en-US" w:eastAsia="nl-BE"/>
        </w:rPr>
        <w:t xml:space="preserve"> infliximab or vedolizumab are influenced by the same variables as the iv drug formulations (</w:t>
      </w:r>
      <w:proofErr w:type="spellStart"/>
      <w:r w:rsidRPr="00B92FB5">
        <w:rPr>
          <w:rFonts w:ascii="Calibri" w:eastAsia="Times New Roman" w:hAnsi="Calibri" w:cs="Calibri"/>
          <w:color w:val="212121"/>
          <w:lang w:val="en-US" w:eastAsia="nl-BE"/>
        </w:rPr>
        <w:t>eg.</w:t>
      </w:r>
      <w:proofErr w:type="spellEnd"/>
      <w:r w:rsidRPr="00B92FB5">
        <w:rPr>
          <w:rFonts w:ascii="Calibri" w:eastAsia="Times New Roman" w:hAnsi="Calibri" w:cs="Calibri"/>
          <w:color w:val="212121"/>
          <w:lang w:val="en-US" w:eastAsia="nl-BE"/>
        </w:rPr>
        <w:t xml:space="preserve"> albumin, CRP, etc.)? Please discuss.</w:t>
      </w:r>
    </w:p>
    <w:p w14:paraId="17A70956" w14:textId="77D9796E" w:rsidR="00B84C96" w:rsidRPr="00EF3AE6" w:rsidRDefault="00B104A3" w:rsidP="00EF3AE6">
      <w:pPr>
        <w:pStyle w:val="ListParagraph"/>
        <w:shd w:val="clear" w:color="auto" w:fill="FFFFFF"/>
        <w:snapToGrid w:val="0"/>
        <w:spacing w:before="120" w:after="0" w:line="240" w:lineRule="auto"/>
        <w:ind w:left="357" w:firstLine="720"/>
        <w:contextualSpacing w:val="0"/>
        <w:jc w:val="both"/>
        <w:rPr>
          <w:rFonts w:ascii="Calibri" w:eastAsia="Times New Roman" w:hAnsi="Calibri" w:cs="Calibri"/>
          <w:color w:val="212121"/>
          <w:lang w:val="en-US" w:eastAsia="nl-BE"/>
        </w:rPr>
      </w:pPr>
      <w:r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As mentioned in the </w:t>
      </w:r>
      <w:r w:rsidR="008F5CC4">
        <w:rPr>
          <w:rFonts w:ascii="Calibri" w:eastAsia="Times New Roman" w:hAnsi="Calibri" w:cs="Calibri"/>
          <w:color w:val="212121"/>
          <w:lang w:val="en-US" w:eastAsia="nl-BE"/>
        </w:rPr>
        <w:t>Supplementary</w:t>
      </w:r>
      <w:r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</w:t>
      </w:r>
      <w:r w:rsidR="008F5CC4">
        <w:rPr>
          <w:rFonts w:ascii="Calibri" w:eastAsia="Times New Roman" w:hAnsi="Calibri" w:cs="Calibri"/>
          <w:color w:val="212121"/>
          <w:lang w:val="en-US" w:eastAsia="nl-BE"/>
        </w:rPr>
        <w:t>Material</w:t>
      </w:r>
      <w:r w:rsidR="00AD0FDD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(</w:t>
      </w:r>
      <w:r w:rsidR="00E11BDF">
        <w:rPr>
          <w:rFonts w:ascii="Calibri" w:eastAsia="Times New Roman" w:hAnsi="Calibri" w:cs="Calibri"/>
          <w:color w:val="212121"/>
          <w:lang w:val="en-US" w:eastAsia="nl-BE"/>
        </w:rPr>
        <w:t xml:space="preserve">Supplementary: </w:t>
      </w:r>
      <w:r w:rsidR="00AD0FDD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lines </w:t>
      </w:r>
      <w:r w:rsidR="00F03C25">
        <w:rPr>
          <w:rFonts w:ascii="Calibri" w:eastAsia="Times New Roman" w:hAnsi="Calibri" w:cs="Calibri"/>
          <w:color w:val="212121"/>
          <w:lang w:val="en-US" w:eastAsia="nl-BE"/>
        </w:rPr>
        <w:t>3</w:t>
      </w:r>
      <w:r w:rsidR="00AD0FDD" w:rsidRPr="004B6B69">
        <w:rPr>
          <w:rFonts w:ascii="Calibri" w:eastAsia="Times New Roman" w:hAnsi="Calibri" w:cs="Calibri"/>
          <w:color w:val="212121"/>
          <w:lang w:val="en-US" w:eastAsia="nl-BE"/>
        </w:rPr>
        <w:t>-</w:t>
      </w:r>
      <w:r w:rsidR="00F03C25">
        <w:rPr>
          <w:rFonts w:ascii="Calibri" w:eastAsia="Times New Roman" w:hAnsi="Calibri" w:cs="Calibri"/>
          <w:color w:val="212121"/>
          <w:lang w:val="en-US" w:eastAsia="nl-BE"/>
        </w:rPr>
        <w:t>5</w:t>
      </w:r>
      <w:r w:rsidR="00AD0FDD" w:rsidRPr="004B6B69">
        <w:rPr>
          <w:rFonts w:ascii="Calibri" w:eastAsia="Times New Roman" w:hAnsi="Calibri" w:cs="Calibri"/>
          <w:color w:val="212121"/>
          <w:lang w:val="en-US" w:eastAsia="nl-BE"/>
        </w:rPr>
        <w:t>)</w:t>
      </w:r>
      <w:r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, </w:t>
      </w:r>
      <w:r w:rsidR="00F03C25">
        <w:rPr>
          <w:rFonts w:ascii="Calibri" w:eastAsia="Times New Roman" w:hAnsi="Calibri" w:cs="Calibri"/>
          <w:color w:val="212121"/>
          <w:lang w:val="en-US" w:eastAsia="nl-BE"/>
        </w:rPr>
        <w:t>infliximab</w:t>
      </w:r>
      <w:r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</w:t>
      </w:r>
      <w:r w:rsidR="00710CB5" w:rsidRPr="004B6B69">
        <w:rPr>
          <w:rFonts w:ascii="Calibri" w:eastAsia="Times New Roman" w:hAnsi="Calibri" w:cs="Calibri"/>
          <w:color w:val="212121"/>
          <w:lang w:val="en-US" w:eastAsia="nl-BE"/>
        </w:rPr>
        <w:t>simulations</w:t>
      </w:r>
      <w:r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for this manuscript </w:t>
      </w:r>
      <w:r w:rsidR="00EE334A" w:rsidRPr="004B6B69">
        <w:rPr>
          <w:rFonts w:ascii="Calibri" w:eastAsia="Times New Roman" w:hAnsi="Calibri" w:cs="Calibri"/>
          <w:color w:val="212121"/>
          <w:lang w:val="en-US" w:eastAsia="nl-BE"/>
        </w:rPr>
        <w:t>were</w:t>
      </w:r>
      <w:r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</w:t>
      </w:r>
      <w:r w:rsidR="00EE334A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performed using the SC </w:t>
      </w:r>
      <w:proofErr w:type="spellStart"/>
      <w:r w:rsidR="00EE334A" w:rsidRPr="004B6B69">
        <w:rPr>
          <w:rFonts w:ascii="Calibri" w:eastAsia="Times New Roman" w:hAnsi="Calibri" w:cs="Calibri"/>
          <w:color w:val="212121"/>
          <w:lang w:val="en-US" w:eastAsia="nl-BE"/>
        </w:rPr>
        <w:t>popPK</w:t>
      </w:r>
      <w:proofErr w:type="spellEnd"/>
      <w:r w:rsidR="00EE334A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model reported in the EPAR. Comparison of this SC </w:t>
      </w:r>
      <w:proofErr w:type="spellStart"/>
      <w:r w:rsidR="00710CB5" w:rsidRPr="004B6B69">
        <w:rPr>
          <w:rFonts w:ascii="Calibri" w:eastAsia="Times New Roman" w:hAnsi="Calibri" w:cs="Calibri"/>
          <w:color w:val="212121"/>
          <w:lang w:val="en-US" w:eastAsia="nl-BE"/>
        </w:rPr>
        <w:t>popPK</w:t>
      </w:r>
      <w:proofErr w:type="spellEnd"/>
      <w:r w:rsidR="00710CB5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</w:t>
      </w:r>
      <w:r w:rsidR="00EE334A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model with the available IV </w:t>
      </w:r>
      <w:proofErr w:type="spellStart"/>
      <w:r w:rsidR="00EE334A" w:rsidRPr="004B6B69">
        <w:rPr>
          <w:rFonts w:ascii="Calibri" w:eastAsia="Times New Roman" w:hAnsi="Calibri" w:cs="Calibri"/>
          <w:color w:val="212121"/>
          <w:lang w:val="en-US" w:eastAsia="nl-BE"/>
        </w:rPr>
        <w:t>popPK</w:t>
      </w:r>
      <w:proofErr w:type="spellEnd"/>
      <w:r w:rsidR="00EE334A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models</w:t>
      </w:r>
      <w:r w:rsidR="00710CB5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of infliximab</w:t>
      </w:r>
      <w:r w:rsidR="00EE334A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does not </w:t>
      </w:r>
      <w:r w:rsidR="00167561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indicate any differences in distribution and elimination PK between both routes of administration. </w:t>
      </w:r>
      <w:r w:rsidR="00710CB5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The covariates in the SC model (immunogenicity and body </w:t>
      </w:r>
      <w:r w:rsidR="00544521">
        <w:rPr>
          <w:rFonts w:ascii="Calibri" w:eastAsia="Times New Roman" w:hAnsi="Calibri" w:cs="Calibri"/>
          <w:color w:val="212121"/>
          <w:lang w:val="en-US" w:eastAsia="nl-BE"/>
        </w:rPr>
        <w:t>weight</w:t>
      </w:r>
      <w:r w:rsidR="00710CB5" w:rsidRPr="004B6B69">
        <w:rPr>
          <w:rFonts w:ascii="Calibri" w:eastAsia="Times New Roman" w:hAnsi="Calibri" w:cs="Calibri"/>
          <w:color w:val="212121"/>
          <w:lang w:val="en-US" w:eastAsia="nl-BE"/>
        </w:rPr>
        <w:t>) have been reported in IV models as well.</w:t>
      </w:r>
      <w:r w:rsidR="009B7B23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Also</w:t>
      </w:r>
      <w:r w:rsidR="00933D57">
        <w:rPr>
          <w:rFonts w:ascii="Calibri" w:eastAsia="Times New Roman" w:hAnsi="Calibri" w:cs="Calibri"/>
          <w:color w:val="212121"/>
          <w:lang w:val="en-US" w:eastAsia="nl-BE"/>
        </w:rPr>
        <w:t>,</w:t>
      </w:r>
      <w:r w:rsidR="009B7B23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for VDZ </w:t>
      </w:r>
      <w:r w:rsidR="00544521">
        <w:rPr>
          <w:rFonts w:ascii="Calibri" w:eastAsia="Times New Roman" w:hAnsi="Calibri" w:cs="Calibri"/>
          <w:color w:val="212121"/>
          <w:lang w:val="en-US" w:eastAsia="nl-BE"/>
        </w:rPr>
        <w:t>it</w:t>
      </w:r>
      <w:r w:rsidR="009B7B23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was evidenced by Rosario </w:t>
      </w:r>
      <w:r w:rsidR="009B7B23" w:rsidRPr="00BC1254">
        <w:rPr>
          <w:rFonts w:ascii="Calibri" w:eastAsia="Times New Roman" w:hAnsi="Calibri" w:cs="Calibri"/>
          <w:i/>
          <w:iCs/>
          <w:color w:val="212121"/>
          <w:lang w:val="en-US" w:eastAsia="nl-BE"/>
        </w:rPr>
        <w:t>et al</w:t>
      </w:r>
      <w:r w:rsidR="00BC1254">
        <w:rPr>
          <w:rFonts w:ascii="Calibri" w:eastAsia="Times New Roman" w:hAnsi="Calibri" w:cs="Calibri"/>
          <w:color w:val="212121"/>
          <w:lang w:val="en-US" w:eastAsia="nl-BE"/>
        </w:rPr>
        <w:t>.</w:t>
      </w:r>
      <w:r w:rsidR="009B7B23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</w:t>
      </w:r>
      <w:r w:rsidR="00B84C96">
        <w:rPr>
          <w:rFonts w:ascii="Calibri" w:eastAsia="Times New Roman" w:hAnsi="Calibri" w:cs="Calibri"/>
          <w:color w:val="212121"/>
          <w:lang w:val="en-US" w:eastAsia="nl-BE"/>
        </w:rPr>
        <w:t>(supplementary reference 3)</w:t>
      </w:r>
      <w:r w:rsidR="008F5CC4">
        <w:rPr>
          <w:rFonts w:ascii="Calibri" w:eastAsia="Times New Roman" w:hAnsi="Calibri" w:cs="Calibri"/>
          <w:color w:val="212121"/>
          <w:lang w:val="en-US" w:eastAsia="nl-BE"/>
        </w:rPr>
        <w:t xml:space="preserve"> </w:t>
      </w:r>
      <w:r w:rsidR="009B7B23" w:rsidRPr="004B6B69">
        <w:rPr>
          <w:rFonts w:ascii="Calibri" w:eastAsia="Times New Roman" w:hAnsi="Calibri" w:cs="Calibri"/>
          <w:color w:val="212121"/>
          <w:lang w:val="en-US" w:eastAsia="nl-BE"/>
        </w:rPr>
        <w:t>that there is no difference in PK between IV and SC administration</w:t>
      </w:r>
      <w:r w:rsidR="008852C4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 (</w:t>
      </w:r>
      <w:r w:rsidR="00541D5B">
        <w:rPr>
          <w:rFonts w:ascii="Calibri" w:eastAsia="Times New Roman" w:hAnsi="Calibri" w:cs="Calibri"/>
          <w:color w:val="212121"/>
          <w:lang w:val="en-US" w:eastAsia="nl-BE"/>
        </w:rPr>
        <w:t>Supplementary</w:t>
      </w:r>
      <w:r w:rsidR="00E11BDF">
        <w:rPr>
          <w:rFonts w:ascii="Calibri" w:eastAsia="Times New Roman" w:hAnsi="Calibri" w:cs="Calibri"/>
          <w:color w:val="212121"/>
          <w:lang w:val="en-US" w:eastAsia="nl-BE"/>
        </w:rPr>
        <w:t xml:space="preserve">: </w:t>
      </w:r>
      <w:r w:rsidR="008852C4" w:rsidRPr="004B6B69">
        <w:rPr>
          <w:rFonts w:ascii="Calibri" w:eastAsia="Times New Roman" w:hAnsi="Calibri" w:cs="Calibri"/>
          <w:color w:val="212121"/>
          <w:lang w:val="en-US" w:eastAsia="nl-BE"/>
        </w:rPr>
        <w:t xml:space="preserve">lines </w:t>
      </w:r>
      <w:r w:rsidR="00BC1254">
        <w:rPr>
          <w:rFonts w:ascii="Calibri" w:eastAsia="Times New Roman" w:hAnsi="Calibri" w:cs="Calibri"/>
          <w:color w:val="212121"/>
          <w:lang w:val="en-US" w:eastAsia="nl-BE"/>
        </w:rPr>
        <w:t>14</w:t>
      </w:r>
      <w:r w:rsidR="008852C4" w:rsidRPr="004B6B69">
        <w:rPr>
          <w:rFonts w:ascii="Calibri" w:eastAsia="Times New Roman" w:hAnsi="Calibri" w:cs="Calibri"/>
          <w:color w:val="212121"/>
          <w:lang w:val="en-US" w:eastAsia="nl-BE"/>
        </w:rPr>
        <w:t>-</w:t>
      </w:r>
      <w:r w:rsidR="00BC1254">
        <w:rPr>
          <w:rFonts w:ascii="Calibri" w:eastAsia="Times New Roman" w:hAnsi="Calibri" w:cs="Calibri"/>
          <w:color w:val="212121"/>
          <w:lang w:val="en-US" w:eastAsia="nl-BE"/>
        </w:rPr>
        <w:t>16</w:t>
      </w:r>
      <w:r w:rsidR="008852C4" w:rsidRPr="004B6B69">
        <w:rPr>
          <w:rFonts w:ascii="Calibri" w:eastAsia="Times New Roman" w:hAnsi="Calibri" w:cs="Calibri"/>
          <w:color w:val="212121"/>
          <w:lang w:val="en-US" w:eastAsia="nl-BE"/>
        </w:rPr>
        <w:t>)</w:t>
      </w:r>
      <w:r w:rsidR="009B7B23" w:rsidRPr="004B6B69">
        <w:rPr>
          <w:rFonts w:ascii="Calibri" w:eastAsia="Times New Roman" w:hAnsi="Calibri" w:cs="Calibri"/>
          <w:color w:val="212121"/>
          <w:lang w:val="en-US" w:eastAsia="nl-BE"/>
        </w:rPr>
        <w:t>.</w:t>
      </w:r>
    </w:p>
    <w:p w14:paraId="2D767938" w14:textId="25572DB6" w:rsidR="002E32DA" w:rsidRPr="00B92FB5" w:rsidRDefault="00E9327A" w:rsidP="00723BA6">
      <w:pPr>
        <w:shd w:val="clear" w:color="auto" w:fill="FFFFFF"/>
        <w:snapToGrid w:val="0"/>
        <w:spacing w:before="120" w:after="0" w:line="240" w:lineRule="auto"/>
        <w:jc w:val="both"/>
        <w:rPr>
          <w:rFonts w:ascii="Calibri" w:eastAsia="Times New Roman" w:hAnsi="Calibri" w:cs="Calibri"/>
          <w:b/>
          <w:bCs/>
          <w:i/>
          <w:iCs/>
          <w:color w:val="212121"/>
          <w:lang w:val="en-US" w:eastAsia="nl-BE"/>
        </w:rPr>
      </w:pPr>
      <w:r w:rsidRPr="00B92FB5">
        <w:rPr>
          <w:rFonts w:ascii="Calibri" w:eastAsia="Times New Roman" w:hAnsi="Calibri" w:cs="Calibri"/>
          <w:b/>
          <w:bCs/>
          <w:i/>
          <w:iCs/>
          <w:color w:val="212121"/>
          <w:lang w:val="en-US" w:eastAsia="nl-BE"/>
        </w:rPr>
        <w:t>Minor points</w:t>
      </w:r>
    </w:p>
    <w:p w14:paraId="495E0F34" w14:textId="77777777" w:rsidR="00E11BDF" w:rsidRDefault="002D7C01" w:rsidP="00E11BDF">
      <w:pPr>
        <w:pStyle w:val="ListParagraph"/>
        <w:numPr>
          <w:ilvl w:val="0"/>
          <w:numId w:val="12"/>
        </w:numPr>
        <w:snapToGrid w:val="0"/>
        <w:spacing w:before="120" w:line="240" w:lineRule="auto"/>
        <w:contextualSpacing w:val="0"/>
        <w:jc w:val="both"/>
        <w:rPr>
          <w:rFonts w:ascii="Calibri" w:eastAsia="Times New Roman" w:hAnsi="Calibri" w:cs="Calibri"/>
          <w:color w:val="212121"/>
          <w:lang w:val="en-US" w:eastAsia="nl-BE"/>
        </w:rPr>
      </w:pPr>
      <w:r w:rsidRPr="00B92FB5">
        <w:rPr>
          <w:rFonts w:ascii="Calibri" w:eastAsia="Times New Roman" w:hAnsi="Calibri" w:cs="Calibri"/>
          <w:color w:val="212121"/>
          <w:lang w:val="en-US" w:eastAsia="nl-BE"/>
        </w:rPr>
        <w:t>Would a PK dashboard better guide the intravenous-to-subcutaneous switch of infliximab and vedolizumab? Please discuss.</w:t>
      </w:r>
    </w:p>
    <w:p w14:paraId="22A00516" w14:textId="309CEC78" w:rsidR="00B2784B" w:rsidRPr="00E11BDF" w:rsidRDefault="009E1C9B" w:rsidP="00E11BDF">
      <w:pPr>
        <w:pStyle w:val="ListParagraph"/>
        <w:snapToGrid w:val="0"/>
        <w:spacing w:before="120" w:line="240" w:lineRule="auto"/>
        <w:ind w:left="357" w:firstLine="720"/>
        <w:contextualSpacing w:val="0"/>
        <w:jc w:val="both"/>
        <w:rPr>
          <w:rFonts w:ascii="Calibri" w:eastAsia="Times New Roman" w:hAnsi="Calibri" w:cs="Calibri"/>
          <w:color w:val="212121"/>
          <w:lang w:val="en-US" w:eastAsia="nl-BE"/>
        </w:rPr>
      </w:pPr>
      <w:r w:rsidRPr="00E11BDF">
        <w:rPr>
          <w:rFonts w:ascii="Calibri" w:eastAsia="Times New Roman" w:hAnsi="Calibri" w:cs="Calibri"/>
          <w:color w:val="212121"/>
          <w:lang w:val="en-US" w:eastAsia="nl-BE"/>
        </w:rPr>
        <w:t>We thank t</w:t>
      </w:r>
      <w:r w:rsidR="00104B9D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he </w:t>
      </w:r>
      <w:r w:rsidR="007F6B53" w:rsidRPr="00E11BDF">
        <w:rPr>
          <w:rFonts w:ascii="Calibri" w:eastAsia="Times New Roman" w:hAnsi="Calibri" w:cs="Calibri"/>
          <w:color w:val="212121"/>
          <w:lang w:val="en-US" w:eastAsia="nl-BE"/>
        </w:rPr>
        <w:t>R</w:t>
      </w:r>
      <w:r w:rsidR="00104B9D" w:rsidRPr="00E11BDF">
        <w:rPr>
          <w:rFonts w:ascii="Calibri" w:eastAsia="Times New Roman" w:hAnsi="Calibri" w:cs="Calibri"/>
          <w:color w:val="212121"/>
          <w:lang w:val="en-US" w:eastAsia="nl-BE"/>
        </w:rPr>
        <w:t>eviewer</w:t>
      </w:r>
      <w:r w:rsidR="00171DC7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 for this interesting question. </w:t>
      </w:r>
      <w:r w:rsidR="00F475DF" w:rsidRPr="00E11BDF">
        <w:rPr>
          <w:rFonts w:ascii="Calibri" w:eastAsia="Times New Roman" w:hAnsi="Calibri" w:cs="Calibri"/>
          <w:color w:val="212121"/>
          <w:lang w:val="en-US" w:eastAsia="nl-BE"/>
        </w:rPr>
        <w:t>We believe that a</w:t>
      </w:r>
      <w:r w:rsidR="00CF001D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 PK dashboard </w:t>
      </w:r>
      <w:r w:rsidR="0087406B" w:rsidRPr="00E11BDF">
        <w:rPr>
          <w:rFonts w:ascii="Calibri" w:eastAsia="Times New Roman" w:hAnsi="Calibri" w:cs="Calibri"/>
          <w:color w:val="212121"/>
          <w:lang w:val="en-US" w:eastAsia="nl-BE"/>
        </w:rPr>
        <w:t>has</w:t>
      </w:r>
      <w:r w:rsidR="00124292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 the potential</w:t>
      </w:r>
      <w:r w:rsidR="00803EAD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 to </w:t>
      </w:r>
      <w:r w:rsidR="0087406B" w:rsidRPr="00E11BDF">
        <w:rPr>
          <w:rFonts w:ascii="Calibri" w:eastAsia="Times New Roman" w:hAnsi="Calibri" w:cs="Calibri"/>
          <w:color w:val="212121"/>
          <w:lang w:val="en-US" w:eastAsia="nl-BE"/>
        </w:rPr>
        <w:t>guide the IV-to-SC switc</w:t>
      </w:r>
      <w:r w:rsidR="00532D5B" w:rsidRPr="00E11BDF">
        <w:rPr>
          <w:rFonts w:ascii="Calibri" w:eastAsia="Times New Roman" w:hAnsi="Calibri" w:cs="Calibri"/>
          <w:color w:val="212121"/>
          <w:lang w:val="en-US" w:eastAsia="nl-BE"/>
        </w:rPr>
        <w:t>h</w:t>
      </w:r>
      <w:r w:rsidR="00F475DF" w:rsidRPr="00E11BDF">
        <w:rPr>
          <w:rFonts w:ascii="Calibri" w:eastAsia="Times New Roman" w:hAnsi="Calibri" w:cs="Calibri"/>
          <w:color w:val="212121"/>
          <w:lang w:val="en-US" w:eastAsia="nl-BE"/>
        </w:rPr>
        <w:t>.</w:t>
      </w:r>
      <w:r w:rsidR="00930FDB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 Uncertainty </w:t>
      </w:r>
      <w:r w:rsidR="00DB4EAB" w:rsidRPr="00E11BDF">
        <w:rPr>
          <w:rFonts w:ascii="Calibri" w:eastAsia="Times New Roman" w:hAnsi="Calibri" w:cs="Calibri"/>
          <w:color w:val="212121"/>
          <w:lang w:val="en-US" w:eastAsia="nl-BE"/>
        </w:rPr>
        <w:t>in</w:t>
      </w:r>
      <w:r w:rsidR="00930FDB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 the absorption parameter – which cannot be estimated from</w:t>
      </w:r>
      <w:r w:rsidR="00095EAC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 drug concentrations obtained during</w:t>
      </w:r>
      <w:r w:rsidR="00930FDB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 IV </w:t>
      </w:r>
      <w:r w:rsidR="00095EAC" w:rsidRPr="00E11BDF">
        <w:rPr>
          <w:rFonts w:ascii="Calibri" w:eastAsia="Times New Roman" w:hAnsi="Calibri" w:cs="Calibri"/>
          <w:color w:val="212121"/>
          <w:lang w:val="en-US" w:eastAsia="nl-BE"/>
        </w:rPr>
        <w:t>dosing</w:t>
      </w:r>
      <w:r w:rsidR="00930FDB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 – may however compromise the precision of the first SC dose.</w:t>
      </w:r>
      <w:r w:rsidR="00585D9E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 Nevertheless, we do see </w:t>
      </w:r>
      <w:r w:rsidR="00DB4EAB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the </w:t>
      </w:r>
      <w:r w:rsidR="00585D9E" w:rsidRPr="00E11BDF">
        <w:rPr>
          <w:rFonts w:ascii="Calibri" w:eastAsia="Times New Roman" w:hAnsi="Calibri" w:cs="Calibri"/>
          <w:color w:val="212121"/>
          <w:lang w:val="en-US" w:eastAsia="nl-BE"/>
        </w:rPr>
        <w:t>potential for dashboard-guided</w:t>
      </w:r>
      <w:r w:rsidR="00FA55F6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 </w:t>
      </w:r>
      <w:r w:rsidR="009453CC" w:rsidRPr="00E11BDF">
        <w:rPr>
          <w:rFonts w:ascii="Calibri" w:eastAsia="Times New Roman" w:hAnsi="Calibri" w:cs="Calibri"/>
          <w:color w:val="212121"/>
          <w:lang w:val="en-US" w:eastAsia="nl-BE"/>
        </w:rPr>
        <w:t>infliximab and vedolizumab switching</w:t>
      </w:r>
      <w:r w:rsidR="00EE1895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 once sufficient evidence on exposure targets has accumulated.</w:t>
      </w:r>
      <w:r w:rsidR="00532D5B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 </w:t>
      </w:r>
      <w:r w:rsidR="00EE1895" w:rsidRPr="00E11BDF">
        <w:rPr>
          <w:rFonts w:ascii="Calibri" w:eastAsia="Times New Roman" w:hAnsi="Calibri" w:cs="Calibri"/>
          <w:color w:val="212121"/>
          <w:lang w:val="en-US" w:eastAsia="nl-BE"/>
        </w:rPr>
        <w:t>Moreover, a</w:t>
      </w:r>
      <w:r w:rsidR="00B31A21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 PK dashboard </w:t>
      </w:r>
      <w:r w:rsidR="00374020" w:rsidRPr="00E11BDF">
        <w:rPr>
          <w:rFonts w:ascii="Calibri" w:eastAsia="Times New Roman" w:hAnsi="Calibri" w:cs="Calibri"/>
          <w:color w:val="212121"/>
          <w:lang w:val="en-US" w:eastAsia="nl-BE"/>
        </w:rPr>
        <w:t>does not only allow targeting of trough concentrations, but also of</w:t>
      </w:r>
      <w:r w:rsidR="00F401C7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 </w:t>
      </w:r>
      <w:r w:rsidR="00B31A21" w:rsidRPr="00E11BDF">
        <w:rPr>
          <w:rFonts w:ascii="Calibri" w:eastAsia="Times New Roman" w:hAnsi="Calibri" w:cs="Calibri"/>
          <w:color w:val="212121"/>
          <w:lang w:val="en-US" w:eastAsia="nl-BE"/>
        </w:rPr>
        <w:t>AUC</w:t>
      </w:r>
      <w:r w:rsidR="00374020" w:rsidRPr="00E11BDF">
        <w:rPr>
          <w:rFonts w:ascii="Calibri" w:eastAsia="Times New Roman" w:hAnsi="Calibri" w:cs="Calibri"/>
          <w:color w:val="212121"/>
          <w:lang w:val="en-US" w:eastAsia="nl-BE"/>
        </w:rPr>
        <w:t>s</w:t>
      </w:r>
      <w:r w:rsidR="007A5EBB" w:rsidRPr="00E11BDF">
        <w:rPr>
          <w:rFonts w:ascii="Calibri" w:eastAsia="Times New Roman" w:hAnsi="Calibri" w:cs="Calibri"/>
          <w:color w:val="212121"/>
          <w:lang w:val="en-US" w:eastAsia="nl-BE"/>
        </w:rPr>
        <w:t>,</w:t>
      </w:r>
      <w:r w:rsidR="00374020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 which may be relevant</w:t>
      </w:r>
      <w:r w:rsidR="001B7515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 </w:t>
      </w:r>
      <w:r w:rsidR="00354DE3" w:rsidRPr="00E11BDF">
        <w:rPr>
          <w:rFonts w:ascii="Calibri" w:eastAsia="Times New Roman" w:hAnsi="Calibri" w:cs="Calibri"/>
          <w:color w:val="212121"/>
          <w:lang w:val="en-US" w:eastAsia="nl-BE"/>
        </w:rPr>
        <w:t>once the</w:t>
      </w:r>
      <w:r w:rsidR="00663011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 main driver of </w:t>
      </w:r>
      <w:r w:rsidR="00354DE3" w:rsidRPr="00E11BDF">
        <w:rPr>
          <w:rFonts w:ascii="Calibri" w:eastAsia="Times New Roman" w:hAnsi="Calibri" w:cs="Calibri"/>
          <w:color w:val="212121"/>
          <w:lang w:val="en-US" w:eastAsia="nl-BE"/>
        </w:rPr>
        <w:t>response is identified</w:t>
      </w:r>
      <w:r w:rsidR="00452D44" w:rsidRPr="00E11BDF">
        <w:rPr>
          <w:rFonts w:ascii="Calibri" w:eastAsia="Times New Roman" w:hAnsi="Calibri" w:cs="Calibri"/>
          <w:color w:val="212121"/>
          <w:lang w:val="en-US" w:eastAsia="nl-BE"/>
        </w:rPr>
        <w:t>.</w:t>
      </w:r>
      <w:r w:rsidR="00825459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 </w:t>
      </w:r>
      <w:r w:rsidR="00663011" w:rsidRPr="00E11BDF">
        <w:rPr>
          <w:rFonts w:ascii="Calibri" w:eastAsia="Times New Roman" w:hAnsi="Calibri" w:cs="Calibri"/>
          <w:color w:val="212121"/>
          <w:lang w:val="en-US" w:eastAsia="nl-BE"/>
        </w:rPr>
        <w:t>Yet, a</w:t>
      </w:r>
      <w:r w:rsidR="00832DA6" w:rsidRPr="00E11BDF">
        <w:rPr>
          <w:rFonts w:ascii="Calibri" w:eastAsia="Times New Roman" w:hAnsi="Calibri" w:cs="Calibri"/>
          <w:color w:val="212121"/>
          <w:lang w:val="en-US" w:eastAsia="nl-BE"/>
        </w:rPr>
        <w:t>t this point</w:t>
      </w:r>
      <w:r w:rsidR="00825459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, the benefit of </w:t>
      </w:r>
      <w:r w:rsidR="00293F50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a </w:t>
      </w:r>
      <w:r w:rsidR="000A1952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PK dashboard over traditional TDM </w:t>
      </w:r>
      <w:r w:rsidR="008B4CEB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in this specific clinical setting </w:t>
      </w:r>
      <w:r w:rsidR="000A1952" w:rsidRPr="00E11BDF">
        <w:rPr>
          <w:rFonts w:ascii="Calibri" w:eastAsia="Times New Roman" w:hAnsi="Calibri" w:cs="Calibri"/>
          <w:color w:val="212121"/>
          <w:lang w:val="en-US" w:eastAsia="nl-BE"/>
        </w:rPr>
        <w:t>is still unknown</w:t>
      </w:r>
      <w:r w:rsidR="00BF3CB8" w:rsidRPr="00E11BDF">
        <w:rPr>
          <w:rFonts w:ascii="Calibri" w:eastAsia="Times New Roman" w:hAnsi="Calibri" w:cs="Calibri"/>
          <w:color w:val="212121"/>
          <w:lang w:val="en-US" w:eastAsia="nl-BE"/>
        </w:rPr>
        <w:t>.</w:t>
      </w:r>
      <w:r w:rsidR="00452D44" w:rsidRPr="00E11BDF">
        <w:rPr>
          <w:rFonts w:ascii="Calibri" w:eastAsia="Times New Roman" w:hAnsi="Calibri" w:cs="Calibri"/>
          <w:color w:val="212121"/>
          <w:lang w:val="en-US" w:eastAsia="nl-BE"/>
        </w:rPr>
        <w:t xml:space="preserve"> We discussed this briefly in the manuscript conclusion (lines </w:t>
      </w:r>
      <w:r w:rsidR="00193C02" w:rsidRPr="00E11BDF">
        <w:rPr>
          <w:rFonts w:ascii="Calibri" w:eastAsia="Times New Roman" w:hAnsi="Calibri" w:cs="Calibri"/>
          <w:color w:val="212121"/>
          <w:lang w:val="en-US" w:eastAsia="nl-BE"/>
        </w:rPr>
        <w:t>73</w:t>
      </w:r>
      <w:r w:rsidR="00452D44" w:rsidRPr="00E11BDF">
        <w:rPr>
          <w:rFonts w:ascii="Calibri" w:eastAsia="Times New Roman" w:hAnsi="Calibri" w:cs="Calibri"/>
          <w:color w:val="212121"/>
          <w:lang w:val="en-US" w:eastAsia="nl-BE"/>
        </w:rPr>
        <w:t>-</w:t>
      </w:r>
      <w:r w:rsidR="00193C02" w:rsidRPr="00E11BDF">
        <w:rPr>
          <w:rFonts w:ascii="Calibri" w:eastAsia="Times New Roman" w:hAnsi="Calibri" w:cs="Calibri"/>
          <w:color w:val="212121"/>
          <w:lang w:val="en-US" w:eastAsia="nl-BE"/>
        </w:rPr>
        <w:t>75</w:t>
      </w:r>
      <w:r w:rsidR="00452D44" w:rsidRPr="00E11BDF">
        <w:rPr>
          <w:rFonts w:ascii="Calibri" w:eastAsia="Times New Roman" w:hAnsi="Calibri" w:cs="Calibri"/>
          <w:color w:val="212121"/>
          <w:lang w:val="en-US" w:eastAsia="nl-BE"/>
        </w:rPr>
        <w:t>).</w:t>
      </w:r>
    </w:p>
    <w:sectPr w:rsidR="00B2784B" w:rsidRPr="00E11BDF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872E7" w14:textId="77777777" w:rsidR="00E6030F" w:rsidRDefault="00E6030F" w:rsidP="00E06616">
      <w:pPr>
        <w:spacing w:after="0" w:line="240" w:lineRule="auto"/>
      </w:pPr>
      <w:r>
        <w:separator/>
      </w:r>
    </w:p>
  </w:endnote>
  <w:endnote w:type="continuationSeparator" w:id="0">
    <w:p w14:paraId="3512F964" w14:textId="77777777" w:rsidR="00E6030F" w:rsidRDefault="00E6030F" w:rsidP="00E06616">
      <w:pPr>
        <w:spacing w:after="0" w:line="240" w:lineRule="auto"/>
      </w:pPr>
      <w:r>
        <w:continuationSeparator/>
      </w:r>
    </w:p>
  </w:endnote>
  <w:endnote w:type="continuationNotice" w:id="1">
    <w:p w14:paraId="0B2A1CBC" w14:textId="77777777" w:rsidR="00E6030F" w:rsidRDefault="00E6030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0000000000000000000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692293505"/>
      <w:docPartObj>
        <w:docPartGallery w:val="Page Numbers (Bottom of Page)"/>
        <w:docPartUnique/>
      </w:docPartObj>
    </w:sdtPr>
    <w:sdtContent>
      <w:p w14:paraId="243F9714" w14:textId="596BD8C2" w:rsidR="00E06616" w:rsidRDefault="00E06616" w:rsidP="00807C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E7F219" w14:textId="77777777" w:rsidR="00E06616" w:rsidRDefault="00E06616" w:rsidP="00DD12A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71289147"/>
      <w:docPartObj>
        <w:docPartGallery w:val="Page Numbers (Bottom of Page)"/>
        <w:docPartUnique/>
      </w:docPartObj>
    </w:sdtPr>
    <w:sdtContent>
      <w:p w14:paraId="0E74B89C" w14:textId="148BE822" w:rsidR="00E06616" w:rsidRDefault="00E06616" w:rsidP="00807C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AABDE1C" w14:textId="77777777" w:rsidR="00E06616" w:rsidRDefault="00E06616" w:rsidP="00DD12A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2D0F3" w14:textId="77777777" w:rsidR="00E6030F" w:rsidRDefault="00E6030F" w:rsidP="00E06616">
      <w:pPr>
        <w:spacing w:after="0" w:line="240" w:lineRule="auto"/>
      </w:pPr>
      <w:r>
        <w:separator/>
      </w:r>
    </w:p>
  </w:footnote>
  <w:footnote w:type="continuationSeparator" w:id="0">
    <w:p w14:paraId="565A0C19" w14:textId="77777777" w:rsidR="00E6030F" w:rsidRDefault="00E6030F" w:rsidP="00E06616">
      <w:pPr>
        <w:spacing w:after="0" w:line="240" w:lineRule="auto"/>
      </w:pPr>
      <w:r>
        <w:continuationSeparator/>
      </w:r>
    </w:p>
  </w:footnote>
  <w:footnote w:type="continuationNotice" w:id="1">
    <w:p w14:paraId="22190627" w14:textId="77777777" w:rsidR="00E6030F" w:rsidRDefault="00E6030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15587"/>
    <w:multiLevelType w:val="hybridMultilevel"/>
    <w:tmpl w:val="CE540D38"/>
    <w:lvl w:ilvl="0" w:tplc="B20AD5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00F16"/>
    <w:multiLevelType w:val="hybridMultilevel"/>
    <w:tmpl w:val="BAC82954"/>
    <w:lvl w:ilvl="0" w:tplc="0622A8BC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  <w:sz w:val="22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07546"/>
    <w:multiLevelType w:val="hybridMultilevel"/>
    <w:tmpl w:val="F95A87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F03E66"/>
    <w:multiLevelType w:val="hybridMultilevel"/>
    <w:tmpl w:val="BD6454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5A706D"/>
    <w:multiLevelType w:val="hybridMultilevel"/>
    <w:tmpl w:val="BD6454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E74AA8"/>
    <w:multiLevelType w:val="hybridMultilevel"/>
    <w:tmpl w:val="0F28DE0A"/>
    <w:lvl w:ilvl="0" w:tplc="27B6F7B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F49FE"/>
    <w:multiLevelType w:val="hybridMultilevel"/>
    <w:tmpl w:val="2CCA98D8"/>
    <w:lvl w:ilvl="0" w:tplc="A81CD76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2138C"/>
    <w:multiLevelType w:val="hybridMultilevel"/>
    <w:tmpl w:val="7D8027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29801C6"/>
    <w:multiLevelType w:val="hybridMultilevel"/>
    <w:tmpl w:val="06DEEC52"/>
    <w:lvl w:ilvl="0" w:tplc="150E10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F915CC"/>
    <w:multiLevelType w:val="hybridMultilevel"/>
    <w:tmpl w:val="97A665F8"/>
    <w:lvl w:ilvl="0" w:tplc="E752F7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E849F9"/>
    <w:multiLevelType w:val="hybridMultilevel"/>
    <w:tmpl w:val="B82C0A7E"/>
    <w:lvl w:ilvl="0" w:tplc="BDCEFC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4806E3"/>
    <w:multiLevelType w:val="hybridMultilevel"/>
    <w:tmpl w:val="397A90EE"/>
    <w:lvl w:ilvl="0" w:tplc="0568BD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42321A"/>
    <w:multiLevelType w:val="hybridMultilevel"/>
    <w:tmpl w:val="88A23A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8DB73CA"/>
    <w:multiLevelType w:val="hybridMultilevel"/>
    <w:tmpl w:val="988EE7D2"/>
    <w:lvl w:ilvl="0" w:tplc="0714C2BE">
      <w:start w:val="74"/>
      <w:numFmt w:val="bullet"/>
      <w:lvlText w:val="-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8883AAF"/>
    <w:multiLevelType w:val="hybridMultilevel"/>
    <w:tmpl w:val="379CA836"/>
    <w:lvl w:ilvl="0" w:tplc="DEE6BAD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635444">
    <w:abstractNumId w:val="5"/>
  </w:num>
  <w:num w:numId="2" w16cid:durableId="5332168">
    <w:abstractNumId w:val="0"/>
  </w:num>
  <w:num w:numId="3" w16cid:durableId="1355765646">
    <w:abstractNumId w:val="9"/>
  </w:num>
  <w:num w:numId="4" w16cid:durableId="1729255707">
    <w:abstractNumId w:val="8"/>
  </w:num>
  <w:num w:numId="5" w16cid:durableId="977296635">
    <w:abstractNumId w:val="6"/>
  </w:num>
  <w:num w:numId="6" w16cid:durableId="1555505498">
    <w:abstractNumId w:val="14"/>
  </w:num>
  <w:num w:numId="7" w16cid:durableId="1404255438">
    <w:abstractNumId w:val="10"/>
  </w:num>
  <w:num w:numId="8" w16cid:durableId="945162646">
    <w:abstractNumId w:val="1"/>
  </w:num>
  <w:num w:numId="9" w16cid:durableId="572543103">
    <w:abstractNumId w:val="13"/>
  </w:num>
  <w:num w:numId="10" w16cid:durableId="1733431481">
    <w:abstractNumId w:val="2"/>
  </w:num>
  <w:num w:numId="11" w16cid:durableId="1441220325">
    <w:abstractNumId w:val="7"/>
  </w:num>
  <w:num w:numId="12" w16cid:durableId="290403340">
    <w:abstractNumId w:val="12"/>
  </w:num>
  <w:num w:numId="13" w16cid:durableId="1741515671">
    <w:abstractNumId w:val="3"/>
  </w:num>
  <w:num w:numId="14" w16cid:durableId="1687099758">
    <w:abstractNumId w:val="4"/>
  </w:num>
  <w:num w:numId="15" w16cid:durableId="14805319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IzsTAyMTEyMzUzN7BQ0lEKTi0uzszPAykwqgUAxdAcBywAAAA="/>
  </w:docVars>
  <w:rsids>
    <w:rsidRoot w:val="00D6746D"/>
    <w:rsid w:val="00000DA7"/>
    <w:rsid w:val="00001026"/>
    <w:rsid w:val="000012C3"/>
    <w:rsid w:val="00001E43"/>
    <w:rsid w:val="0000573F"/>
    <w:rsid w:val="00005751"/>
    <w:rsid w:val="00015B8D"/>
    <w:rsid w:val="000256D2"/>
    <w:rsid w:val="00027DF7"/>
    <w:rsid w:val="0003270D"/>
    <w:rsid w:val="00040382"/>
    <w:rsid w:val="000415DD"/>
    <w:rsid w:val="000425B5"/>
    <w:rsid w:val="000430FD"/>
    <w:rsid w:val="00050360"/>
    <w:rsid w:val="00053BD2"/>
    <w:rsid w:val="00063E28"/>
    <w:rsid w:val="000752E9"/>
    <w:rsid w:val="0008137D"/>
    <w:rsid w:val="00084EA4"/>
    <w:rsid w:val="00085B8F"/>
    <w:rsid w:val="00085D48"/>
    <w:rsid w:val="000865A4"/>
    <w:rsid w:val="00086880"/>
    <w:rsid w:val="00095EAC"/>
    <w:rsid w:val="000A1524"/>
    <w:rsid w:val="000A17E8"/>
    <w:rsid w:val="000A1952"/>
    <w:rsid w:val="000A1BAB"/>
    <w:rsid w:val="000A44BB"/>
    <w:rsid w:val="000A66CA"/>
    <w:rsid w:val="000A6CE4"/>
    <w:rsid w:val="000B1921"/>
    <w:rsid w:val="000B1CD8"/>
    <w:rsid w:val="000B2190"/>
    <w:rsid w:val="000B7212"/>
    <w:rsid w:val="000C0175"/>
    <w:rsid w:val="000D314C"/>
    <w:rsid w:val="000D5798"/>
    <w:rsid w:val="000D6A4B"/>
    <w:rsid w:val="000E55B4"/>
    <w:rsid w:val="000E620D"/>
    <w:rsid w:val="000F4C55"/>
    <w:rsid w:val="000F5B8C"/>
    <w:rsid w:val="000F5DA0"/>
    <w:rsid w:val="00104B9D"/>
    <w:rsid w:val="00106201"/>
    <w:rsid w:val="001113A4"/>
    <w:rsid w:val="001119A1"/>
    <w:rsid w:val="00112015"/>
    <w:rsid w:val="00112326"/>
    <w:rsid w:val="0011356F"/>
    <w:rsid w:val="00113C62"/>
    <w:rsid w:val="0011423F"/>
    <w:rsid w:val="00114A8B"/>
    <w:rsid w:val="00114BFA"/>
    <w:rsid w:val="00114E05"/>
    <w:rsid w:val="001162E4"/>
    <w:rsid w:val="00116EE8"/>
    <w:rsid w:val="001220A5"/>
    <w:rsid w:val="0012390B"/>
    <w:rsid w:val="00124292"/>
    <w:rsid w:val="00131334"/>
    <w:rsid w:val="00135322"/>
    <w:rsid w:val="001446AD"/>
    <w:rsid w:val="00144875"/>
    <w:rsid w:val="00146D85"/>
    <w:rsid w:val="001506CD"/>
    <w:rsid w:val="0015142C"/>
    <w:rsid w:val="00151852"/>
    <w:rsid w:val="00161F73"/>
    <w:rsid w:val="00164FF7"/>
    <w:rsid w:val="00166865"/>
    <w:rsid w:val="00167561"/>
    <w:rsid w:val="0017119B"/>
    <w:rsid w:val="00171DC7"/>
    <w:rsid w:val="001732B7"/>
    <w:rsid w:val="00173D20"/>
    <w:rsid w:val="00173FA1"/>
    <w:rsid w:val="00184FF8"/>
    <w:rsid w:val="00192750"/>
    <w:rsid w:val="00193C02"/>
    <w:rsid w:val="00194754"/>
    <w:rsid w:val="0019505E"/>
    <w:rsid w:val="0019561C"/>
    <w:rsid w:val="00196CA2"/>
    <w:rsid w:val="001A15A3"/>
    <w:rsid w:val="001B1DB3"/>
    <w:rsid w:val="001B2C24"/>
    <w:rsid w:val="001B324A"/>
    <w:rsid w:val="001B3EF5"/>
    <w:rsid w:val="001B58D8"/>
    <w:rsid w:val="001B7515"/>
    <w:rsid w:val="001C13FC"/>
    <w:rsid w:val="001C1E30"/>
    <w:rsid w:val="001C47DF"/>
    <w:rsid w:val="001C5C13"/>
    <w:rsid w:val="001C5DDB"/>
    <w:rsid w:val="001D2865"/>
    <w:rsid w:val="001D4036"/>
    <w:rsid w:val="001D526B"/>
    <w:rsid w:val="001D79B5"/>
    <w:rsid w:val="001E31C9"/>
    <w:rsid w:val="001E49D3"/>
    <w:rsid w:val="001F0347"/>
    <w:rsid w:val="001F09E3"/>
    <w:rsid w:val="001F3FD6"/>
    <w:rsid w:val="001F6F87"/>
    <w:rsid w:val="001F71D0"/>
    <w:rsid w:val="00200B54"/>
    <w:rsid w:val="002019FD"/>
    <w:rsid w:val="00203770"/>
    <w:rsid w:val="0020554D"/>
    <w:rsid w:val="00206619"/>
    <w:rsid w:val="00207918"/>
    <w:rsid w:val="002173CF"/>
    <w:rsid w:val="002202A0"/>
    <w:rsid w:val="00224B79"/>
    <w:rsid w:val="002309C8"/>
    <w:rsid w:val="00232CE9"/>
    <w:rsid w:val="00233F96"/>
    <w:rsid w:val="00237637"/>
    <w:rsid w:val="00240F28"/>
    <w:rsid w:val="002428E0"/>
    <w:rsid w:val="00251C4A"/>
    <w:rsid w:val="002528A1"/>
    <w:rsid w:val="002553BD"/>
    <w:rsid w:val="002627D9"/>
    <w:rsid w:val="00263C48"/>
    <w:rsid w:val="00267288"/>
    <w:rsid w:val="0027410D"/>
    <w:rsid w:val="00276AC6"/>
    <w:rsid w:val="00281E43"/>
    <w:rsid w:val="002838FB"/>
    <w:rsid w:val="0029301B"/>
    <w:rsid w:val="00293F50"/>
    <w:rsid w:val="00296AC4"/>
    <w:rsid w:val="00297AC3"/>
    <w:rsid w:val="002A2B31"/>
    <w:rsid w:val="002A2F6E"/>
    <w:rsid w:val="002A3095"/>
    <w:rsid w:val="002A5A85"/>
    <w:rsid w:val="002A60A1"/>
    <w:rsid w:val="002B1AFF"/>
    <w:rsid w:val="002B2FE2"/>
    <w:rsid w:val="002B353C"/>
    <w:rsid w:val="002C0848"/>
    <w:rsid w:val="002C7EDF"/>
    <w:rsid w:val="002D189F"/>
    <w:rsid w:val="002D3C94"/>
    <w:rsid w:val="002D4109"/>
    <w:rsid w:val="002D7C01"/>
    <w:rsid w:val="002E32DA"/>
    <w:rsid w:val="002E55B9"/>
    <w:rsid w:val="002E7365"/>
    <w:rsid w:val="002F0D63"/>
    <w:rsid w:val="002F5042"/>
    <w:rsid w:val="002F76B2"/>
    <w:rsid w:val="00303A1E"/>
    <w:rsid w:val="00304AED"/>
    <w:rsid w:val="00304B0C"/>
    <w:rsid w:val="00306CE0"/>
    <w:rsid w:val="00307713"/>
    <w:rsid w:val="0031047F"/>
    <w:rsid w:val="0031131F"/>
    <w:rsid w:val="00314245"/>
    <w:rsid w:val="0031454F"/>
    <w:rsid w:val="003153FD"/>
    <w:rsid w:val="00315F6F"/>
    <w:rsid w:val="00316F50"/>
    <w:rsid w:val="00317BB4"/>
    <w:rsid w:val="00322EB6"/>
    <w:rsid w:val="00326328"/>
    <w:rsid w:val="00332A40"/>
    <w:rsid w:val="00332D70"/>
    <w:rsid w:val="00334CAD"/>
    <w:rsid w:val="00335492"/>
    <w:rsid w:val="003354E3"/>
    <w:rsid w:val="0034212E"/>
    <w:rsid w:val="003431FF"/>
    <w:rsid w:val="00345356"/>
    <w:rsid w:val="003469B3"/>
    <w:rsid w:val="00347773"/>
    <w:rsid w:val="00354DE3"/>
    <w:rsid w:val="00362869"/>
    <w:rsid w:val="00365C55"/>
    <w:rsid w:val="00372D5E"/>
    <w:rsid w:val="00373865"/>
    <w:rsid w:val="00374020"/>
    <w:rsid w:val="00374C6C"/>
    <w:rsid w:val="0037626F"/>
    <w:rsid w:val="00376D50"/>
    <w:rsid w:val="0037793C"/>
    <w:rsid w:val="0038296B"/>
    <w:rsid w:val="003845E8"/>
    <w:rsid w:val="00385D79"/>
    <w:rsid w:val="0039254A"/>
    <w:rsid w:val="003950D3"/>
    <w:rsid w:val="003A014E"/>
    <w:rsid w:val="003A318E"/>
    <w:rsid w:val="003A63A3"/>
    <w:rsid w:val="003B095E"/>
    <w:rsid w:val="003C0189"/>
    <w:rsid w:val="003C2F01"/>
    <w:rsid w:val="003C4353"/>
    <w:rsid w:val="003C5E8F"/>
    <w:rsid w:val="003C76BB"/>
    <w:rsid w:val="003D3858"/>
    <w:rsid w:val="003D623B"/>
    <w:rsid w:val="003D6341"/>
    <w:rsid w:val="003D7ED0"/>
    <w:rsid w:val="003E1AE2"/>
    <w:rsid w:val="003E2648"/>
    <w:rsid w:val="003F1985"/>
    <w:rsid w:val="003F5061"/>
    <w:rsid w:val="003F6AAF"/>
    <w:rsid w:val="0040270A"/>
    <w:rsid w:val="00411F77"/>
    <w:rsid w:val="004223D6"/>
    <w:rsid w:val="004242D3"/>
    <w:rsid w:val="00424BDA"/>
    <w:rsid w:val="004261C1"/>
    <w:rsid w:val="0042707B"/>
    <w:rsid w:val="00427F6B"/>
    <w:rsid w:val="004320B1"/>
    <w:rsid w:val="004342E3"/>
    <w:rsid w:val="004364C7"/>
    <w:rsid w:val="00437592"/>
    <w:rsid w:val="004478F7"/>
    <w:rsid w:val="00452D44"/>
    <w:rsid w:val="0045581B"/>
    <w:rsid w:val="00457814"/>
    <w:rsid w:val="00461C18"/>
    <w:rsid w:val="004634F6"/>
    <w:rsid w:val="00466664"/>
    <w:rsid w:val="004702D2"/>
    <w:rsid w:val="00475A7D"/>
    <w:rsid w:val="0047616C"/>
    <w:rsid w:val="00476388"/>
    <w:rsid w:val="00484979"/>
    <w:rsid w:val="00493F37"/>
    <w:rsid w:val="004950CD"/>
    <w:rsid w:val="004969D6"/>
    <w:rsid w:val="004A48DF"/>
    <w:rsid w:val="004A4CC3"/>
    <w:rsid w:val="004B4146"/>
    <w:rsid w:val="004B6B69"/>
    <w:rsid w:val="004C4C8D"/>
    <w:rsid w:val="004C727D"/>
    <w:rsid w:val="004D611D"/>
    <w:rsid w:val="004F111B"/>
    <w:rsid w:val="004F39FE"/>
    <w:rsid w:val="004F7AE5"/>
    <w:rsid w:val="00501BBC"/>
    <w:rsid w:val="00506555"/>
    <w:rsid w:val="0051229B"/>
    <w:rsid w:val="00515FB8"/>
    <w:rsid w:val="00516FFE"/>
    <w:rsid w:val="00520A57"/>
    <w:rsid w:val="00523479"/>
    <w:rsid w:val="00531569"/>
    <w:rsid w:val="00532535"/>
    <w:rsid w:val="00532D5B"/>
    <w:rsid w:val="005330EF"/>
    <w:rsid w:val="00535212"/>
    <w:rsid w:val="00540F85"/>
    <w:rsid w:val="0054160C"/>
    <w:rsid w:val="00541824"/>
    <w:rsid w:val="00541D5B"/>
    <w:rsid w:val="00542CF6"/>
    <w:rsid w:val="00544521"/>
    <w:rsid w:val="00545369"/>
    <w:rsid w:val="0054559F"/>
    <w:rsid w:val="005507B6"/>
    <w:rsid w:val="00563F5A"/>
    <w:rsid w:val="00567ADD"/>
    <w:rsid w:val="00567D41"/>
    <w:rsid w:val="00574E2A"/>
    <w:rsid w:val="0057511E"/>
    <w:rsid w:val="0058037E"/>
    <w:rsid w:val="00582044"/>
    <w:rsid w:val="00585D9E"/>
    <w:rsid w:val="00585F82"/>
    <w:rsid w:val="0058621B"/>
    <w:rsid w:val="00586D5F"/>
    <w:rsid w:val="00592A7A"/>
    <w:rsid w:val="0059403E"/>
    <w:rsid w:val="0059439B"/>
    <w:rsid w:val="0059771B"/>
    <w:rsid w:val="005A1099"/>
    <w:rsid w:val="005A3A35"/>
    <w:rsid w:val="005B385C"/>
    <w:rsid w:val="005B6048"/>
    <w:rsid w:val="005C4308"/>
    <w:rsid w:val="005C591E"/>
    <w:rsid w:val="005D031C"/>
    <w:rsid w:val="005D4DAC"/>
    <w:rsid w:val="005D6F81"/>
    <w:rsid w:val="005E01BD"/>
    <w:rsid w:val="005E20C3"/>
    <w:rsid w:val="005E2547"/>
    <w:rsid w:val="005E4D77"/>
    <w:rsid w:val="005E71E2"/>
    <w:rsid w:val="005E7CEF"/>
    <w:rsid w:val="005F0E87"/>
    <w:rsid w:val="005F1C1D"/>
    <w:rsid w:val="005F5761"/>
    <w:rsid w:val="005F603D"/>
    <w:rsid w:val="005F63CE"/>
    <w:rsid w:val="005F6CDD"/>
    <w:rsid w:val="005F7EAE"/>
    <w:rsid w:val="006014C8"/>
    <w:rsid w:val="006016BB"/>
    <w:rsid w:val="006022BB"/>
    <w:rsid w:val="00606158"/>
    <w:rsid w:val="00610915"/>
    <w:rsid w:val="00615B46"/>
    <w:rsid w:val="00623A2F"/>
    <w:rsid w:val="00626361"/>
    <w:rsid w:val="0062720C"/>
    <w:rsid w:val="006310FA"/>
    <w:rsid w:val="00634390"/>
    <w:rsid w:val="00634E60"/>
    <w:rsid w:val="00640D8F"/>
    <w:rsid w:val="006479C7"/>
    <w:rsid w:val="00652A94"/>
    <w:rsid w:val="00654813"/>
    <w:rsid w:val="00661A1B"/>
    <w:rsid w:val="006626FA"/>
    <w:rsid w:val="00663011"/>
    <w:rsid w:val="00667A9F"/>
    <w:rsid w:val="00670160"/>
    <w:rsid w:val="00672F33"/>
    <w:rsid w:val="00677517"/>
    <w:rsid w:val="00680637"/>
    <w:rsid w:val="00682B53"/>
    <w:rsid w:val="00690E00"/>
    <w:rsid w:val="006949E2"/>
    <w:rsid w:val="00695365"/>
    <w:rsid w:val="00695A6B"/>
    <w:rsid w:val="00696933"/>
    <w:rsid w:val="00697B27"/>
    <w:rsid w:val="006A2500"/>
    <w:rsid w:val="006A43A1"/>
    <w:rsid w:val="006A54B9"/>
    <w:rsid w:val="006A7036"/>
    <w:rsid w:val="006A7758"/>
    <w:rsid w:val="006B0AD0"/>
    <w:rsid w:val="006B4CAF"/>
    <w:rsid w:val="006C4D22"/>
    <w:rsid w:val="006D73A9"/>
    <w:rsid w:val="006E38FE"/>
    <w:rsid w:val="006E5271"/>
    <w:rsid w:val="006E7550"/>
    <w:rsid w:val="007015E8"/>
    <w:rsid w:val="00702897"/>
    <w:rsid w:val="00706500"/>
    <w:rsid w:val="0071055D"/>
    <w:rsid w:val="00710CB5"/>
    <w:rsid w:val="00715330"/>
    <w:rsid w:val="0071775B"/>
    <w:rsid w:val="00720832"/>
    <w:rsid w:val="00722988"/>
    <w:rsid w:val="00723BA6"/>
    <w:rsid w:val="00726181"/>
    <w:rsid w:val="00735700"/>
    <w:rsid w:val="0073681A"/>
    <w:rsid w:val="00753531"/>
    <w:rsid w:val="00753586"/>
    <w:rsid w:val="007557BF"/>
    <w:rsid w:val="00762632"/>
    <w:rsid w:val="00770519"/>
    <w:rsid w:val="00770887"/>
    <w:rsid w:val="00770C62"/>
    <w:rsid w:val="00773B4A"/>
    <w:rsid w:val="00776634"/>
    <w:rsid w:val="00780A87"/>
    <w:rsid w:val="00780D6C"/>
    <w:rsid w:val="007825B4"/>
    <w:rsid w:val="00785D9E"/>
    <w:rsid w:val="00785FFF"/>
    <w:rsid w:val="0078769C"/>
    <w:rsid w:val="007938CD"/>
    <w:rsid w:val="0079515C"/>
    <w:rsid w:val="0079760A"/>
    <w:rsid w:val="007976EE"/>
    <w:rsid w:val="007A0B10"/>
    <w:rsid w:val="007A3868"/>
    <w:rsid w:val="007A5EBB"/>
    <w:rsid w:val="007A6A60"/>
    <w:rsid w:val="007A708B"/>
    <w:rsid w:val="007B1716"/>
    <w:rsid w:val="007B1E46"/>
    <w:rsid w:val="007B3D5D"/>
    <w:rsid w:val="007B5B8F"/>
    <w:rsid w:val="007C03E8"/>
    <w:rsid w:val="007D0692"/>
    <w:rsid w:val="007D0947"/>
    <w:rsid w:val="007D2905"/>
    <w:rsid w:val="007D347F"/>
    <w:rsid w:val="007D6CC6"/>
    <w:rsid w:val="007D6E3C"/>
    <w:rsid w:val="007E0C2E"/>
    <w:rsid w:val="007E1736"/>
    <w:rsid w:val="007E5F91"/>
    <w:rsid w:val="007F412B"/>
    <w:rsid w:val="007F4FAE"/>
    <w:rsid w:val="007F6B53"/>
    <w:rsid w:val="007F7688"/>
    <w:rsid w:val="00803EAD"/>
    <w:rsid w:val="0080445B"/>
    <w:rsid w:val="00810A63"/>
    <w:rsid w:val="0081146D"/>
    <w:rsid w:val="00813BC0"/>
    <w:rsid w:val="00814A7E"/>
    <w:rsid w:val="008216A6"/>
    <w:rsid w:val="00821781"/>
    <w:rsid w:val="00825459"/>
    <w:rsid w:val="00825D20"/>
    <w:rsid w:val="0082764C"/>
    <w:rsid w:val="00832DA6"/>
    <w:rsid w:val="00833036"/>
    <w:rsid w:val="008403E6"/>
    <w:rsid w:val="00840EA7"/>
    <w:rsid w:val="00841836"/>
    <w:rsid w:val="008466E1"/>
    <w:rsid w:val="0085332B"/>
    <w:rsid w:val="008543E0"/>
    <w:rsid w:val="00855A89"/>
    <w:rsid w:val="008567E1"/>
    <w:rsid w:val="008571FD"/>
    <w:rsid w:val="00857D63"/>
    <w:rsid w:val="008635A8"/>
    <w:rsid w:val="00864F2F"/>
    <w:rsid w:val="008677C4"/>
    <w:rsid w:val="0087406B"/>
    <w:rsid w:val="00874C69"/>
    <w:rsid w:val="008802BD"/>
    <w:rsid w:val="008806CE"/>
    <w:rsid w:val="00884803"/>
    <w:rsid w:val="008850D3"/>
    <w:rsid w:val="008852C4"/>
    <w:rsid w:val="0088660B"/>
    <w:rsid w:val="00895B09"/>
    <w:rsid w:val="00897E75"/>
    <w:rsid w:val="008A275A"/>
    <w:rsid w:val="008A45AC"/>
    <w:rsid w:val="008A6421"/>
    <w:rsid w:val="008A6962"/>
    <w:rsid w:val="008B0C55"/>
    <w:rsid w:val="008B4CEB"/>
    <w:rsid w:val="008B56F6"/>
    <w:rsid w:val="008C2536"/>
    <w:rsid w:val="008C4F4A"/>
    <w:rsid w:val="008C6C7E"/>
    <w:rsid w:val="008D24A7"/>
    <w:rsid w:val="008D49A4"/>
    <w:rsid w:val="008D5343"/>
    <w:rsid w:val="008D743E"/>
    <w:rsid w:val="008E0BA2"/>
    <w:rsid w:val="008E15F0"/>
    <w:rsid w:val="008E22B4"/>
    <w:rsid w:val="008E5A2B"/>
    <w:rsid w:val="008F5B30"/>
    <w:rsid w:val="008F5CC4"/>
    <w:rsid w:val="00901478"/>
    <w:rsid w:val="00901E38"/>
    <w:rsid w:val="009042F6"/>
    <w:rsid w:val="00913706"/>
    <w:rsid w:val="0091727D"/>
    <w:rsid w:val="00924B31"/>
    <w:rsid w:val="00925DA1"/>
    <w:rsid w:val="00925FA9"/>
    <w:rsid w:val="00930F31"/>
    <w:rsid w:val="00930FDB"/>
    <w:rsid w:val="00932738"/>
    <w:rsid w:val="009333EB"/>
    <w:rsid w:val="00933D57"/>
    <w:rsid w:val="0093728A"/>
    <w:rsid w:val="0093796E"/>
    <w:rsid w:val="00941C37"/>
    <w:rsid w:val="009453CC"/>
    <w:rsid w:val="00945AEA"/>
    <w:rsid w:val="0095136E"/>
    <w:rsid w:val="00955464"/>
    <w:rsid w:val="00955824"/>
    <w:rsid w:val="00961201"/>
    <w:rsid w:val="0096145D"/>
    <w:rsid w:val="009618C9"/>
    <w:rsid w:val="00961C9C"/>
    <w:rsid w:val="00964EE5"/>
    <w:rsid w:val="00965D1E"/>
    <w:rsid w:val="00967B56"/>
    <w:rsid w:val="00970AD2"/>
    <w:rsid w:val="00976993"/>
    <w:rsid w:val="00977004"/>
    <w:rsid w:val="00977178"/>
    <w:rsid w:val="00982511"/>
    <w:rsid w:val="00986582"/>
    <w:rsid w:val="009908D9"/>
    <w:rsid w:val="00995566"/>
    <w:rsid w:val="00995669"/>
    <w:rsid w:val="009A1410"/>
    <w:rsid w:val="009A46D9"/>
    <w:rsid w:val="009A691E"/>
    <w:rsid w:val="009A7199"/>
    <w:rsid w:val="009B10D0"/>
    <w:rsid w:val="009B40B4"/>
    <w:rsid w:val="009B7B23"/>
    <w:rsid w:val="009C193A"/>
    <w:rsid w:val="009C2F67"/>
    <w:rsid w:val="009C54AB"/>
    <w:rsid w:val="009C5A96"/>
    <w:rsid w:val="009C6ED8"/>
    <w:rsid w:val="009D66DC"/>
    <w:rsid w:val="009E1C9B"/>
    <w:rsid w:val="009E56ED"/>
    <w:rsid w:val="009E70F2"/>
    <w:rsid w:val="009F18EB"/>
    <w:rsid w:val="009F3E33"/>
    <w:rsid w:val="00A01172"/>
    <w:rsid w:val="00A05A1A"/>
    <w:rsid w:val="00A06ADD"/>
    <w:rsid w:val="00A10193"/>
    <w:rsid w:val="00A12002"/>
    <w:rsid w:val="00A12158"/>
    <w:rsid w:val="00A13354"/>
    <w:rsid w:val="00A1553E"/>
    <w:rsid w:val="00A15F90"/>
    <w:rsid w:val="00A23AB3"/>
    <w:rsid w:val="00A269D3"/>
    <w:rsid w:val="00A342C8"/>
    <w:rsid w:val="00A42523"/>
    <w:rsid w:val="00A43B75"/>
    <w:rsid w:val="00A43DA3"/>
    <w:rsid w:val="00A4720C"/>
    <w:rsid w:val="00A50676"/>
    <w:rsid w:val="00A53B85"/>
    <w:rsid w:val="00A549DA"/>
    <w:rsid w:val="00A71F05"/>
    <w:rsid w:val="00A72098"/>
    <w:rsid w:val="00A725F0"/>
    <w:rsid w:val="00A77FB1"/>
    <w:rsid w:val="00A80A86"/>
    <w:rsid w:val="00A838CE"/>
    <w:rsid w:val="00A84474"/>
    <w:rsid w:val="00A868DB"/>
    <w:rsid w:val="00A97BED"/>
    <w:rsid w:val="00AA4559"/>
    <w:rsid w:val="00AB001E"/>
    <w:rsid w:val="00AB3515"/>
    <w:rsid w:val="00AB579C"/>
    <w:rsid w:val="00AC2866"/>
    <w:rsid w:val="00AC5100"/>
    <w:rsid w:val="00AC6D22"/>
    <w:rsid w:val="00AD0FDD"/>
    <w:rsid w:val="00AD24AC"/>
    <w:rsid w:val="00AD7162"/>
    <w:rsid w:val="00AE74C0"/>
    <w:rsid w:val="00AF0F47"/>
    <w:rsid w:val="00AF21FD"/>
    <w:rsid w:val="00AF6F4F"/>
    <w:rsid w:val="00AF7AF7"/>
    <w:rsid w:val="00B024C5"/>
    <w:rsid w:val="00B03443"/>
    <w:rsid w:val="00B03F25"/>
    <w:rsid w:val="00B047AD"/>
    <w:rsid w:val="00B07AF8"/>
    <w:rsid w:val="00B104A3"/>
    <w:rsid w:val="00B10785"/>
    <w:rsid w:val="00B10CD1"/>
    <w:rsid w:val="00B11AB0"/>
    <w:rsid w:val="00B13FDE"/>
    <w:rsid w:val="00B14FB2"/>
    <w:rsid w:val="00B20EA7"/>
    <w:rsid w:val="00B23E99"/>
    <w:rsid w:val="00B23F97"/>
    <w:rsid w:val="00B2784B"/>
    <w:rsid w:val="00B30DA6"/>
    <w:rsid w:val="00B31A21"/>
    <w:rsid w:val="00B330E4"/>
    <w:rsid w:val="00B33AEC"/>
    <w:rsid w:val="00B37843"/>
    <w:rsid w:val="00B404FF"/>
    <w:rsid w:val="00B42537"/>
    <w:rsid w:val="00B519A4"/>
    <w:rsid w:val="00B52522"/>
    <w:rsid w:val="00B56C43"/>
    <w:rsid w:val="00B5731A"/>
    <w:rsid w:val="00B644D2"/>
    <w:rsid w:val="00B64B6E"/>
    <w:rsid w:val="00B65F73"/>
    <w:rsid w:val="00B748B5"/>
    <w:rsid w:val="00B7508C"/>
    <w:rsid w:val="00B8010E"/>
    <w:rsid w:val="00B849FB"/>
    <w:rsid w:val="00B84C96"/>
    <w:rsid w:val="00B85F99"/>
    <w:rsid w:val="00B90B05"/>
    <w:rsid w:val="00B928CC"/>
    <w:rsid w:val="00B92FB5"/>
    <w:rsid w:val="00B94D51"/>
    <w:rsid w:val="00B94F1F"/>
    <w:rsid w:val="00B97A9D"/>
    <w:rsid w:val="00BA2219"/>
    <w:rsid w:val="00BA2E57"/>
    <w:rsid w:val="00BB1FAA"/>
    <w:rsid w:val="00BB23C9"/>
    <w:rsid w:val="00BB5305"/>
    <w:rsid w:val="00BB6C8F"/>
    <w:rsid w:val="00BB7139"/>
    <w:rsid w:val="00BC022F"/>
    <w:rsid w:val="00BC1254"/>
    <w:rsid w:val="00BD2523"/>
    <w:rsid w:val="00BD40D9"/>
    <w:rsid w:val="00BD5313"/>
    <w:rsid w:val="00BD5AB9"/>
    <w:rsid w:val="00BD5D71"/>
    <w:rsid w:val="00BD701C"/>
    <w:rsid w:val="00BE242A"/>
    <w:rsid w:val="00BE3B2B"/>
    <w:rsid w:val="00BE4121"/>
    <w:rsid w:val="00BF1168"/>
    <w:rsid w:val="00BF3CB8"/>
    <w:rsid w:val="00C0664C"/>
    <w:rsid w:val="00C10CF3"/>
    <w:rsid w:val="00C11996"/>
    <w:rsid w:val="00C11BAA"/>
    <w:rsid w:val="00C134BF"/>
    <w:rsid w:val="00C1540F"/>
    <w:rsid w:val="00C15DC2"/>
    <w:rsid w:val="00C17D12"/>
    <w:rsid w:val="00C206F2"/>
    <w:rsid w:val="00C323A3"/>
    <w:rsid w:val="00C3405C"/>
    <w:rsid w:val="00C36CBA"/>
    <w:rsid w:val="00C466F9"/>
    <w:rsid w:val="00C46C19"/>
    <w:rsid w:val="00C50568"/>
    <w:rsid w:val="00C5201B"/>
    <w:rsid w:val="00C54B54"/>
    <w:rsid w:val="00C638A1"/>
    <w:rsid w:val="00C6413E"/>
    <w:rsid w:val="00C711E8"/>
    <w:rsid w:val="00C7593F"/>
    <w:rsid w:val="00C77DB2"/>
    <w:rsid w:val="00C805FA"/>
    <w:rsid w:val="00C81377"/>
    <w:rsid w:val="00C81B9B"/>
    <w:rsid w:val="00C8269E"/>
    <w:rsid w:val="00C8584E"/>
    <w:rsid w:val="00C86BD1"/>
    <w:rsid w:val="00C9050C"/>
    <w:rsid w:val="00C90D6E"/>
    <w:rsid w:val="00C95FAC"/>
    <w:rsid w:val="00C97059"/>
    <w:rsid w:val="00C97DB0"/>
    <w:rsid w:val="00CA1899"/>
    <w:rsid w:val="00CA1BD3"/>
    <w:rsid w:val="00CA1DD5"/>
    <w:rsid w:val="00CA24A7"/>
    <w:rsid w:val="00CA4ECB"/>
    <w:rsid w:val="00CB4A1A"/>
    <w:rsid w:val="00CC2167"/>
    <w:rsid w:val="00CC2D2A"/>
    <w:rsid w:val="00CC391A"/>
    <w:rsid w:val="00CC6D0F"/>
    <w:rsid w:val="00CD1BBB"/>
    <w:rsid w:val="00CD43AE"/>
    <w:rsid w:val="00CD4B3E"/>
    <w:rsid w:val="00CD60FC"/>
    <w:rsid w:val="00CD7CC4"/>
    <w:rsid w:val="00CE0C32"/>
    <w:rsid w:val="00CE2B41"/>
    <w:rsid w:val="00CF001D"/>
    <w:rsid w:val="00CF05A2"/>
    <w:rsid w:val="00CF3325"/>
    <w:rsid w:val="00CF54D2"/>
    <w:rsid w:val="00CF7239"/>
    <w:rsid w:val="00D00412"/>
    <w:rsid w:val="00D04E10"/>
    <w:rsid w:val="00D054F2"/>
    <w:rsid w:val="00D135C1"/>
    <w:rsid w:val="00D14886"/>
    <w:rsid w:val="00D25D52"/>
    <w:rsid w:val="00D272A4"/>
    <w:rsid w:val="00D272D2"/>
    <w:rsid w:val="00D33DF3"/>
    <w:rsid w:val="00D34300"/>
    <w:rsid w:val="00D3435F"/>
    <w:rsid w:val="00D3684B"/>
    <w:rsid w:val="00D36F52"/>
    <w:rsid w:val="00D4102F"/>
    <w:rsid w:val="00D44DC6"/>
    <w:rsid w:val="00D465F1"/>
    <w:rsid w:val="00D47FB0"/>
    <w:rsid w:val="00D52970"/>
    <w:rsid w:val="00D5385D"/>
    <w:rsid w:val="00D5721B"/>
    <w:rsid w:val="00D62FD1"/>
    <w:rsid w:val="00D64CB7"/>
    <w:rsid w:val="00D6560E"/>
    <w:rsid w:val="00D665AA"/>
    <w:rsid w:val="00D6746D"/>
    <w:rsid w:val="00D7361A"/>
    <w:rsid w:val="00D73A69"/>
    <w:rsid w:val="00D75647"/>
    <w:rsid w:val="00D82324"/>
    <w:rsid w:val="00D837AA"/>
    <w:rsid w:val="00D90A53"/>
    <w:rsid w:val="00D91774"/>
    <w:rsid w:val="00D91FCF"/>
    <w:rsid w:val="00D93FEC"/>
    <w:rsid w:val="00DA0B35"/>
    <w:rsid w:val="00DB4EAB"/>
    <w:rsid w:val="00DB4FAA"/>
    <w:rsid w:val="00DB5C3A"/>
    <w:rsid w:val="00DC33F0"/>
    <w:rsid w:val="00DD1276"/>
    <w:rsid w:val="00DD12A7"/>
    <w:rsid w:val="00DD1E19"/>
    <w:rsid w:val="00DD7BD8"/>
    <w:rsid w:val="00DE5DDA"/>
    <w:rsid w:val="00DF2395"/>
    <w:rsid w:val="00DF2E5C"/>
    <w:rsid w:val="00DF2E74"/>
    <w:rsid w:val="00DF450D"/>
    <w:rsid w:val="00DF5832"/>
    <w:rsid w:val="00E06616"/>
    <w:rsid w:val="00E10CEF"/>
    <w:rsid w:val="00E11BDF"/>
    <w:rsid w:val="00E15013"/>
    <w:rsid w:val="00E15EBF"/>
    <w:rsid w:val="00E16A0E"/>
    <w:rsid w:val="00E243DB"/>
    <w:rsid w:val="00E31F6F"/>
    <w:rsid w:val="00E3287E"/>
    <w:rsid w:val="00E33861"/>
    <w:rsid w:val="00E363DF"/>
    <w:rsid w:val="00E42A92"/>
    <w:rsid w:val="00E442DE"/>
    <w:rsid w:val="00E50343"/>
    <w:rsid w:val="00E5239A"/>
    <w:rsid w:val="00E57A43"/>
    <w:rsid w:val="00E6030F"/>
    <w:rsid w:val="00E660BC"/>
    <w:rsid w:val="00E724CE"/>
    <w:rsid w:val="00E7396A"/>
    <w:rsid w:val="00E8369A"/>
    <w:rsid w:val="00E83E3F"/>
    <w:rsid w:val="00E84AAD"/>
    <w:rsid w:val="00E85A97"/>
    <w:rsid w:val="00E86524"/>
    <w:rsid w:val="00E866AA"/>
    <w:rsid w:val="00E86977"/>
    <w:rsid w:val="00E9327A"/>
    <w:rsid w:val="00E95B2E"/>
    <w:rsid w:val="00E97DBE"/>
    <w:rsid w:val="00EB1BDD"/>
    <w:rsid w:val="00EB1D3D"/>
    <w:rsid w:val="00EB5EE3"/>
    <w:rsid w:val="00EB6A3C"/>
    <w:rsid w:val="00EB6FFD"/>
    <w:rsid w:val="00EC0E89"/>
    <w:rsid w:val="00EC1912"/>
    <w:rsid w:val="00EC2562"/>
    <w:rsid w:val="00EC2EA6"/>
    <w:rsid w:val="00EC3DB1"/>
    <w:rsid w:val="00EC4FA7"/>
    <w:rsid w:val="00EC7EF0"/>
    <w:rsid w:val="00ED3873"/>
    <w:rsid w:val="00EE09BC"/>
    <w:rsid w:val="00EE1895"/>
    <w:rsid w:val="00EE334A"/>
    <w:rsid w:val="00EE5060"/>
    <w:rsid w:val="00EE6A9D"/>
    <w:rsid w:val="00EF00E8"/>
    <w:rsid w:val="00EF2E87"/>
    <w:rsid w:val="00EF3AE6"/>
    <w:rsid w:val="00F00B4D"/>
    <w:rsid w:val="00F030BB"/>
    <w:rsid w:val="00F03C25"/>
    <w:rsid w:val="00F049A5"/>
    <w:rsid w:val="00F10C96"/>
    <w:rsid w:val="00F13F8F"/>
    <w:rsid w:val="00F17A93"/>
    <w:rsid w:val="00F27ACC"/>
    <w:rsid w:val="00F30BA9"/>
    <w:rsid w:val="00F311FB"/>
    <w:rsid w:val="00F3232F"/>
    <w:rsid w:val="00F3446F"/>
    <w:rsid w:val="00F34B11"/>
    <w:rsid w:val="00F3525B"/>
    <w:rsid w:val="00F354AC"/>
    <w:rsid w:val="00F3773B"/>
    <w:rsid w:val="00F401C7"/>
    <w:rsid w:val="00F475DF"/>
    <w:rsid w:val="00F50404"/>
    <w:rsid w:val="00F5112C"/>
    <w:rsid w:val="00F543A4"/>
    <w:rsid w:val="00F55BE1"/>
    <w:rsid w:val="00F62A6B"/>
    <w:rsid w:val="00F62E95"/>
    <w:rsid w:val="00F6531A"/>
    <w:rsid w:val="00F65982"/>
    <w:rsid w:val="00F73597"/>
    <w:rsid w:val="00F740E9"/>
    <w:rsid w:val="00F75B10"/>
    <w:rsid w:val="00F75FAA"/>
    <w:rsid w:val="00F82917"/>
    <w:rsid w:val="00F84241"/>
    <w:rsid w:val="00F866EE"/>
    <w:rsid w:val="00F86B4D"/>
    <w:rsid w:val="00F8759D"/>
    <w:rsid w:val="00F90253"/>
    <w:rsid w:val="00F90DFF"/>
    <w:rsid w:val="00F95318"/>
    <w:rsid w:val="00FA55F6"/>
    <w:rsid w:val="00FA5F7A"/>
    <w:rsid w:val="00FB1831"/>
    <w:rsid w:val="00FB2888"/>
    <w:rsid w:val="00FC0CA0"/>
    <w:rsid w:val="00FD05A8"/>
    <w:rsid w:val="00FD487F"/>
    <w:rsid w:val="00FE0A1E"/>
    <w:rsid w:val="00FE0D5B"/>
    <w:rsid w:val="00FE6078"/>
    <w:rsid w:val="00FF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D5170"/>
  <w15:chartTrackingRefBased/>
  <w15:docId w15:val="{630002B6-25F0-40A0-B3FC-62BDB2E2A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AAD"/>
    <w:pPr>
      <w:spacing w:after="120" w:line="245" w:lineRule="auto"/>
    </w:pPr>
    <w:rPr>
      <w:szCs w:val="22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C711E8"/>
  </w:style>
  <w:style w:type="character" w:styleId="CommentReference">
    <w:name w:val="annotation reference"/>
    <w:basedOn w:val="DefaultParagraphFont"/>
    <w:uiPriority w:val="99"/>
    <w:semiHidden/>
    <w:unhideWhenUsed/>
    <w:rsid w:val="005F1C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F1C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F1C1D"/>
    <w:rPr>
      <w:sz w:val="20"/>
      <w:szCs w:val="20"/>
      <w:lang w:val="en-GB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1C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1C1D"/>
    <w:rPr>
      <w:b/>
      <w:bCs/>
      <w:sz w:val="20"/>
      <w:szCs w:val="20"/>
      <w:lang w:val="en-GB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1C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C1D"/>
    <w:rPr>
      <w:rFonts w:ascii="Segoe UI" w:hAnsi="Segoe UI" w:cs="Segoe UI"/>
      <w:sz w:val="18"/>
      <w:szCs w:val="18"/>
      <w:lang w:val="en-GB" w:bidi="ar-SA"/>
    </w:rPr>
  </w:style>
  <w:style w:type="paragraph" w:styleId="ListParagraph">
    <w:name w:val="List Paragraph"/>
    <w:basedOn w:val="Normal"/>
    <w:uiPriority w:val="34"/>
    <w:qFormat/>
    <w:rsid w:val="003C01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506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6C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16A0E"/>
    <w:pPr>
      <w:spacing w:after="0" w:line="240" w:lineRule="auto"/>
    </w:pPr>
    <w:rPr>
      <w:szCs w:val="22"/>
      <w:lang w:val="en-GB" w:bidi="ar-SA"/>
    </w:rPr>
  </w:style>
  <w:style w:type="paragraph" w:styleId="Footer">
    <w:name w:val="footer"/>
    <w:basedOn w:val="Normal"/>
    <w:link w:val="FooterChar"/>
    <w:uiPriority w:val="99"/>
    <w:unhideWhenUsed/>
    <w:rsid w:val="00E066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616"/>
    <w:rPr>
      <w:szCs w:val="22"/>
      <w:lang w:val="en-GB" w:bidi="ar-SA"/>
    </w:rPr>
  </w:style>
  <w:style w:type="character" w:styleId="PageNumber">
    <w:name w:val="page number"/>
    <w:basedOn w:val="DefaultParagraphFont"/>
    <w:uiPriority w:val="99"/>
    <w:semiHidden/>
    <w:unhideWhenUsed/>
    <w:rsid w:val="00E06616"/>
  </w:style>
  <w:style w:type="paragraph" w:styleId="Header">
    <w:name w:val="header"/>
    <w:basedOn w:val="Normal"/>
    <w:link w:val="HeaderChar"/>
    <w:uiPriority w:val="99"/>
    <w:unhideWhenUsed/>
    <w:rsid w:val="00DD1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2A7"/>
    <w:rPr>
      <w:szCs w:val="22"/>
      <w:lang w:val="en-GB" w:bidi="ar-SA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B1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1831"/>
    <w:rPr>
      <w:rFonts w:ascii="Times New Roman" w:eastAsia="Times New Roman" w:hAnsi="Times New Roman" w:cs="Times New Roman"/>
      <w:sz w:val="24"/>
      <w:szCs w:val="24"/>
      <w:lang w:eastAsia="zh-CN" w:bidi="ar-SA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2AF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zh-C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2AF5"/>
    <w:rPr>
      <w:rFonts w:ascii="Arial" w:eastAsia="Times New Roman" w:hAnsi="Arial" w:cs="Arial"/>
      <w:vanish/>
      <w:sz w:val="16"/>
      <w:szCs w:val="16"/>
      <w:lang w:eastAsia="zh-CN" w:bidi="ar-S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F2AF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zh-C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F2AF5"/>
    <w:rPr>
      <w:rFonts w:ascii="Arial" w:eastAsia="Times New Roman" w:hAnsi="Arial" w:cs="Arial"/>
      <w:vanish/>
      <w:sz w:val="16"/>
      <w:szCs w:val="16"/>
      <w:lang w:eastAsia="zh-CN" w:bidi="ar-SA"/>
    </w:rPr>
  </w:style>
  <w:style w:type="paragraph" w:styleId="NormalWeb">
    <w:name w:val="Normal (Web)"/>
    <w:basedOn w:val="Normal"/>
    <w:uiPriority w:val="99"/>
    <w:unhideWhenUsed/>
    <w:rsid w:val="00787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Emphasis">
    <w:name w:val="Emphasis"/>
    <w:basedOn w:val="DefaultParagraphFont"/>
    <w:uiPriority w:val="20"/>
    <w:qFormat/>
    <w:rsid w:val="00F352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3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91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3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64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1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3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5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8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01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8817">
          <w:marLeft w:val="0"/>
          <w:marRight w:val="0"/>
          <w:marTop w:val="0"/>
          <w:marBottom w:val="0"/>
          <w:divBdr>
            <w:top w:val="single" w:sz="6" w:space="0" w:color="5B616B"/>
            <w:left w:val="single" w:sz="6" w:space="0" w:color="5B616B"/>
            <w:bottom w:val="single" w:sz="6" w:space="0" w:color="5B616B"/>
            <w:right w:val="single" w:sz="6" w:space="0" w:color="5B616B"/>
          </w:divBdr>
        </w:div>
        <w:div w:id="1465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ACB99-0B62-4593-9D4D-8884B0FFE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Wannee Kantasiripitak</dc:creator>
  <cp:keywords/>
  <dc:description/>
  <cp:lastModifiedBy>Wang Zhigang</cp:lastModifiedBy>
  <cp:revision>10</cp:revision>
  <dcterms:created xsi:type="dcterms:W3CDTF">2022-12-16T09:29:00Z</dcterms:created>
  <dcterms:modified xsi:type="dcterms:W3CDTF">2022-12-16T12:03:00Z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c73b927ef89802be971a784687db337c8f9cf2c5fed766d627f08a3649b372a7</vt:lpwstr>
  </property>
</Properties>
</file>