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A0BDF" w14:textId="77777777" w:rsidR="006F6B41" w:rsidRDefault="006F6B41" w:rsidP="006F6B41">
      <w:pPr>
        <w:spacing w:after="160" w:line="259" w:lineRule="auto"/>
        <w:rPr>
          <w:lang w:val="en-US"/>
        </w:rPr>
      </w:pPr>
      <w:r w:rsidRPr="00CA6996">
        <w:rPr>
          <w:b/>
          <w:bCs/>
          <w:lang w:val="en-US"/>
        </w:rPr>
        <w:t xml:space="preserve">Table </w:t>
      </w:r>
      <w:r>
        <w:rPr>
          <w:b/>
          <w:bCs/>
          <w:lang w:val="en-US"/>
        </w:rPr>
        <w:t>1</w:t>
      </w:r>
      <w:r w:rsidRPr="00055901">
        <w:rPr>
          <w:lang w:val="en-US"/>
        </w:rPr>
        <w:t xml:space="preserve">. </w:t>
      </w:r>
      <w:r>
        <w:rPr>
          <w:lang w:val="en-US"/>
        </w:rPr>
        <w:t xml:space="preserve">Pros and Cons of parametric and predictive mean </w:t>
      </w:r>
      <w:r w:rsidRPr="00D80097">
        <w:t>matching</w:t>
      </w:r>
      <w:r>
        <w:t xml:space="preserve"> </w:t>
      </w:r>
      <w:r w:rsidRPr="00D80097">
        <w:t>multiple</w:t>
      </w:r>
      <w:r>
        <w:rPr>
          <w:lang w:val="en-US"/>
        </w:rPr>
        <w:t xml:space="preserve"> imputation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3965"/>
        <w:gridCol w:w="3966"/>
      </w:tblGrid>
      <w:tr w:rsidR="006F6B41" w:rsidRPr="006B7CAF" w14:paraId="30263430" w14:textId="77777777" w:rsidTr="00FA3A01">
        <w:tc>
          <w:tcPr>
            <w:tcW w:w="1131" w:type="dxa"/>
            <w:vAlign w:val="center"/>
          </w:tcPr>
          <w:p w14:paraId="33B62595" w14:textId="77777777" w:rsidR="006F6B41" w:rsidRPr="00367217" w:rsidRDefault="006F6B41" w:rsidP="00FA3A01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Method</w:t>
            </w: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s</w:t>
            </w:r>
          </w:p>
        </w:tc>
        <w:tc>
          <w:tcPr>
            <w:tcW w:w="3965" w:type="dxa"/>
            <w:vAlign w:val="center"/>
          </w:tcPr>
          <w:p w14:paraId="6DCC881D" w14:textId="77777777" w:rsidR="006F6B41" w:rsidRPr="00367217" w:rsidRDefault="006F6B41" w:rsidP="00FA3A01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 xml:space="preserve">Parametric imputation </w:t>
            </w:r>
          </w:p>
        </w:tc>
        <w:tc>
          <w:tcPr>
            <w:tcW w:w="3966" w:type="dxa"/>
            <w:vAlign w:val="center"/>
          </w:tcPr>
          <w:p w14:paraId="5A8EB798" w14:textId="77777777" w:rsidR="006F6B41" w:rsidRPr="006B7CAF" w:rsidRDefault="006F6B41" w:rsidP="00FA3A01">
            <w:pPr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Predictive mean matching</w:t>
            </w:r>
          </w:p>
        </w:tc>
      </w:tr>
      <w:tr w:rsidR="006F6B41" w:rsidRPr="00367217" w14:paraId="0C6A24C4" w14:textId="77777777" w:rsidTr="00FA3A01">
        <w:tc>
          <w:tcPr>
            <w:tcW w:w="1131" w:type="dxa"/>
            <w:vMerge w:val="restart"/>
          </w:tcPr>
          <w:p w14:paraId="44ACD37A" w14:textId="77777777" w:rsidR="006F6B41" w:rsidRPr="00367217" w:rsidRDefault="006F6B41" w:rsidP="00FA3A01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Pros</w:t>
            </w:r>
          </w:p>
        </w:tc>
        <w:tc>
          <w:tcPr>
            <w:tcW w:w="3965" w:type="dxa"/>
            <w:vMerge w:val="restart"/>
          </w:tcPr>
          <w:p w14:paraId="3539D872" w14:textId="77777777" w:rsidR="006F6B41" w:rsidRPr="002653F9" w:rsidRDefault="006F6B41" w:rsidP="00FA3A01">
            <w:pPr>
              <w:rPr>
                <w:rFonts w:cs="Times New Roman"/>
                <w:szCs w:val="24"/>
                <w:lang w:val="en-US"/>
              </w:rPr>
            </w:pPr>
            <w:r w:rsidRPr="002653F9">
              <w:rPr>
                <w:rFonts w:cs="Times New Roman"/>
                <w:szCs w:val="24"/>
                <w:lang w:val="en-US"/>
              </w:rPr>
              <w:t xml:space="preserve">Can </w:t>
            </w:r>
            <w:r>
              <w:rPr>
                <w:rFonts w:cs="Times New Roman"/>
                <w:szCs w:val="24"/>
                <w:lang w:val="en-US"/>
              </w:rPr>
              <w:t>be used</w:t>
            </w:r>
            <w:r w:rsidRPr="002653F9">
              <w:rPr>
                <w:rFonts w:cs="Times New Roman"/>
                <w:szCs w:val="24"/>
                <w:lang w:val="en-US"/>
              </w:rPr>
              <w:t xml:space="preserve"> even when the sample size is small</w:t>
            </w:r>
            <w:r>
              <w:rPr>
                <w:rFonts w:cs="Times New Roman"/>
                <w:szCs w:val="24"/>
                <w:lang w:val="en-US"/>
              </w:rPr>
              <w:t xml:space="preserve"> (≤5).</w:t>
            </w:r>
          </w:p>
        </w:tc>
        <w:tc>
          <w:tcPr>
            <w:tcW w:w="3966" w:type="dxa"/>
          </w:tcPr>
          <w:p w14:paraId="07316130" w14:textId="77777777" w:rsidR="006F6B41" w:rsidRPr="00FC76A5" w:rsidRDefault="006F6B41" w:rsidP="00FA3A01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Always g</w:t>
            </w:r>
            <w:r w:rsidRPr="00FC76A5">
              <w:rPr>
                <w:rFonts w:cs="Times New Roman"/>
                <w:szCs w:val="24"/>
                <w:lang w:val="en-US"/>
              </w:rPr>
              <w:t>enerate plausible values</w:t>
            </w:r>
          </w:p>
        </w:tc>
      </w:tr>
      <w:tr w:rsidR="006F6B41" w:rsidRPr="00367217" w14:paraId="14BF1CC3" w14:textId="77777777" w:rsidTr="00FA3A01">
        <w:tc>
          <w:tcPr>
            <w:tcW w:w="1131" w:type="dxa"/>
            <w:vMerge/>
          </w:tcPr>
          <w:p w14:paraId="5F111AC4" w14:textId="77777777" w:rsidR="006F6B41" w:rsidRDefault="006F6B41" w:rsidP="00FA3A01">
            <w:pPr>
              <w:rPr>
                <w:rFonts w:cs="Times New Roman"/>
                <w:szCs w:val="24"/>
              </w:rPr>
            </w:pPr>
          </w:p>
        </w:tc>
        <w:tc>
          <w:tcPr>
            <w:tcW w:w="3965" w:type="dxa"/>
            <w:vMerge/>
          </w:tcPr>
          <w:p w14:paraId="2E3CA772" w14:textId="77777777" w:rsidR="006F6B41" w:rsidRDefault="006F6B41" w:rsidP="006F6B41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3966" w:type="dxa"/>
          </w:tcPr>
          <w:p w14:paraId="67F09CE0" w14:textId="77777777" w:rsidR="006F6B41" w:rsidRPr="003A0BE7" w:rsidRDefault="006F6B41" w:rsidP="00FA3A01">
            <w:pPr>
              <w:rPr>
                <w:rFonts w:cs="Times New Roman"/>
                <w:szCs w:val="24"/>
                <w:lang w:val="en-US"/>
              </w:rPr>
            </w:pPr>
            <w:r w:rsidRPr="003A0BE7">
              <w:rPr>
                <w:rFonts w:cs="Times New Roman"/>
                <w:szCs w:val="24"/>
                <w:lang w:val="en-US"/>
              </w:rPr>
              <w:t>Preserves</w:t>
            </w:r>
            <w:r>
              <w:rPr>
                <w:rFonts w:cs="Times New Roman"/>
                <w:szCs w:val="24"/>
                <w:lang w:val="en-US"/>
              </w:rPr>
              <w:t xml:space="preserve"> the</w:t>
            </w:r>
            <w:r w:rsidRPr="003A0BE7">
              <w:rPr>
                <w:rFonts w:cs="Times New Roman"/>
                <w:szCs w:val="24"/>
                <w:lang w:val="en-US"/>
              </w:rPr>
              <w:t xml:space="preserve"> location of quantiles</w:t>
            </w:r>
          </w:p>
        </w:tc>
      </w:tr>
      <w:tr w:rsidR="006F6B41" w:rsidRPr="00367217" w14:paraId="078BBBFD" w14:textId="77777777" w:rsidTr="00FA3A01">
        <w:tc>
          <w:tcPr>
            <w:tcW w:w="1131" w:type="dxa"/>
            <w:vMerge/>
          </w:tcPr>
          <w:p w14:paraId="02BF2116" w14:textId="77777777" w:rsidR="006F6B41" w:rsidRDefault="006F6B41" w:rsidP="00FA3A01">
            <w:pPr>
              <w:rPr>
                <w:rFonts w:cs="Times New Roman"/>
                <w:szCs w:val="24"/>
              </w:rPr>
            </w:pPr>
          </w:p>
        </w:tc>
        <w:tc>
          <w:tcPr>
            <w:tcW w:w="3965" w:type="dxa"/>
            <w:vMerge/>
          </w:tcPr>
          <w:p w14:paraId="7964FDF7" w14:textId="77777777" w:rsidR="006F6B41" w:rsidRDefault="006F6B41" w:rsidP="006F6B41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3966" w:type="dxa"/>
          </w:tcPr>
          <w:p w14:paraId="326FD6AF" w14:textId="77777777" w:rsidR="006F6B41" w:rsidRPr="00D90129" w:rsidRDefault="006F6B41" w:rsidP="00FA3A01">
            <w:pPr>
              <w:rPr>
                <w:rFonts w:cs="Times New Roman"/>
                <w:szCs w:val="24"/>
                <w:lang w:val="en-US"/>
              </w:rPr>
            </w:pPr>
            <w:r w:rsidRPr="00D90129">
              <w:rPr>
                <w:rFonts w:cs="Times New Roman"/>
                <w:szCs w:val="24"/>
                <w:lang w:val="en-US"/>
              </w:rPr>
              <w:t xml:space="preserve">More </w:t>
            </w:r>
            <w:r>
              <w:rPr>
                <w:rFonts w:cs="Times New Roman"/>
                <w:szCs w:val="24"/>
                <w:lang w:val="en-US"/>
              </w:rPr>
              <w:t>reliable</w:t>
            </w:r>
            <w:r w:rsidRPr="00D90129">
              <w:rPr>
                <w:rFonts w:cs="Times New Roman"/>
                <w:szCs w:val="24"/>
                <w:lang w:val="en-US"/>
              </w:rPr>
              <w:t xml:space="preserve"> to imputation model misspecification </w:t>
            </w:r>
          </w:p>
        </w:tc>
      </w:tr>
      <w:tr w:rsidR="006F6B41" w:rsidRPr="00367217" w14:paraId="754B50B4" w14:textId="77777777" w:rsidTr="00FA3A01">
        <w:tc>
          <w:tcPr>
            <w:tcW w:w="1131" w:type="dxa"/>
            <w:vMerge w:val="restart"/>
          </w:tcPr>
          <w:p w14:paraId="16B7862B" w14:textId="77777777" w:rsidR="006F6B41" w:rsidRPr="00367217" w:rsidRDefault="006F6B41" w:rsidP="00FA3A01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Cons</w:t>
            </w:r>
          </w:p>
        </w:tc>
        <w:tc>
          <w:tcPr>
            <w:tcW w:w="3965" w:type="dxa"/>
          </w:tcPr>
          <w:p w14:paraId="19A2EE60" w14:textId="77777777" w:rsidR="006F6B41" w:rsidRPr="00A01668" w:rsidRDefault="006F6B41" w:rsidP="00FA3A01">
            <w:pPr>
              <w:rPr>
                <w:rFonts w:cs="Times New Roman"/>
                <w:szCs w:val="24"/>
                <w:lang w:val="en-US"/>
              </w:rPr>
            </w:pPr>
            <w:r w:rsidRPr="00A01668">
              <w:rPr>
                <w:rFonts w:cs="Times New Roman"/>
                <w:szCs w:val="24"/>
                <w:lang w:val="en-US"/>
              </w:rPr>
              <w:t>May generate implausible values</w:t>
            </w:r>
          </w:p>
        </w:tc>
        <w:tc>
          <w:tcPr>
            <w:tcW w:w="3966" w:type="dxa"/>
          </w:tcPr>
          <w:p w14:paraId="1A9F88AF" w14:textId="77777777" w:rsidR="006F6B41" w:rsidRPr="008E759B" w:rsidRDefault="006F6B41" w:rsidP="00FA3A01">
            <w:pPr>
              <w:rPr>
                <w:rFonts w:cs="Times New Roman"/>
                <w:szCs w:val="24"/>
                <w:lang w:val="en-US"/>
              </w:rPr>
            </w:pPr>
            <w:r w:rsidRPr="008E759B">
              <w:rPr>
                <w:rFonts w:cs="Times New Roman"/>
                <w:szCs w:val="24"/>
                <w:lang w:val="en-US"/>
              </w:rPr>
              <w:t>May impute one value many times if the sample size is small</w:t>
            </w:r>
            <w:r>
              <w:rPr>
                <w:rFonts w:cs="Times New Roman"/>
                <w:szCs w:val="24"/>
                <w:lang w:val="en-US"/>
              </w:rPr>
              <w:t xml:space="preserve"> (≤5).</w:t>
            </w:r>
          </w:p>
        </w:tc>
      </w:tr>
      <w:tr w:rsidR="006F6B41" w:rsidRPr="005173C8" w14:paraId="11BC2DEA" w14:textId="77777777" w:rsidTr="00FA3A01">
        <w:tc>
          <w:tcPr>
            <w:tcW w:w="1131" w:type="dxa"/>
            <w:vMerge/>
          </w:tcPr>
          <w:p w14:paraId="6563ECE5" w14:textId="77777777" w:rsidR="006F6B41" w:rsidRDefault="006F6B41" w:rsidP="00FA3A01">
            <w:pPr>
              <w:rPr>
                <w:rFonts w:cs="Times New Roman"/>
                <w:szCs w:val="24"/>
              </w:rPr>
            </w:pPr>
          </w:p>
        </w:tc>
        <w:tc>
          <w:tcPr>
            <w:tcW w:w="3965" w:type="dxa"/>
          </w:tcPr>
          <w:p w14:paraId="4583EF6C" w14:textId="77777777" w:rsidR="006F6B41" w:rsidRPr="00A01668" w:rsidRDefault="006F6B41" w:rsidP="00FA3A01">
            <w:pPr>
              <w:ind w:left="30"/>
              <w:rPr>
                <w:rFonts w:cs="Times New Roman"/>
                <w:szCs w:val="24"/>
                <w:lang w:val="es-ES"/>
              </w:rPr>
            </w:pPr>
            <w:r w:rsidRPr="00A01668">
              <w:rPr>
                <w:rFonts w:cs="Times New Roman"/>
                <w:szCs w:val="24"/>
                <w:lang w:val="es-ES"/>
              </w:rPr>
              <w:t xml:space="preserve">Susceptible </w:t>
            </w:r>
            <w:proofErr w:type="spellStart"/>
            <w:r w:rsidRPr="00A01668">
              <w:rPr>
                <w:rFonts w:cs="Times New Roman"/>
                <w:szCs w:val="24"/>
                <w:lang w:val="es-ES"/>
              </w:rPr>
              <w:t>to</w:t>
            </w:r>
            <w:proofErr w:type="spellEnd"/>
            <w:r w:rsidRPr="00A01668">
              <w:rPr>
                <w:rFonts w:cs="Times New Roman"/>
                <w:szCs w:val="24"/>
                <w:lang w:val="es-ES"/>
              </w:rPr>
              <w:t xml:space="preserve"> </w:t>
            </w:r>
            <w:proofErr w:type="spellStart"/>
            <w:r w:rsidRPr="00A01668">
              <w:rPr>
                <w:rFonts w:cs="Times New Roman"/>
                <w:szCs w:val="24"/>
                <w:lang w:val="es-ES"/>
              </w:rPr>
              <w:t>imputation</w:t>
            </w:r>
            <w:proofErr w:type="spellEnd"/>
            <w:r w:rsidRPr="00A01668">
              <w:rPr>
                <w:rFonts w:cs="Times New Roman"/>
                <w:szCs w:val="24"/>
                <w:lang w:val="es-ES"/>
              </w:rPr>
              <w:t xml:space="preserve"> </w:t>
            </w:r>
            <w:proofErr w:type="spellStart"/>
            <w:r w:rsidRPr="00A01668">
              <w:rPr>
                <w:rFonts w:cs="Times New Roman"/>
                <w:szCs w:val="24"/>
                <w:lang w:val="es-ES"/>
              </w:rPr>
              <w:t>model</w:t>
            </w:r>
            <w:proofErr w:type="spellEnd"/>
            <w:r w:rsidRPr="00A01668">
              <w:rPr>
                <w:rFonts w:cs="Times New Roman"/>
                <w:szCs w:val="24"/>
                <w:lang w:val="es-ES"/>
              </w:rPr>
              <w:t xml:space="preserve"> </w:t>
            </w:r>
            <w:proofErr w:type="spellStart"/>
            <w:r w:rsidRPr="00A01668">
              <w:rPr>
                <w:rFonts w:cs="Times New Roman"/>
                <w:szCs w:val="24"/>
                <w:lang w:val="es-ES"/>
              </w:rPr>
              <w:t>misspecification</w:t>
            </w:r>
            <w:proofErr w:type="spellEnd"/>
          </w:p>
        </w:tc>
        <w:tc>
          <w:tcPr>
            <w:tcW w:w="3966" w:type="dxa"/>
          </w:tcPr>
          <w:p w14:paraId="7184E117" w14:textId="77777777" w:rsidR="006F6B41" w:rsidRPr="00D80097" w:rsidRDefault="006F6B41" w:rsidP="00FA3A0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</w:t>
            </w:r>
            <w:r w:rsidRPr="00D80097">
              <w:rPr>
                <w:rFonts w:cs="Times New Roman"/>
                <w:szCs w:val="24"/>
              </w:rPr>
              <w:t>annot be used to extrapolate beyond the range of the data, or to interpolate within the range of the data if the data at the interior</w:t>
            </w:r>
            <w:r w:rsidRPr="008E759B">
              <w:rPr>
                <w:rFonts w:cs="Times New Roman"/>
                <w:szCs w:val="24"/>
              </w:rPr>
              <w:t xml:space="preserve"> </w:t>
            </w:r>
            <w:r w:rsidRPr="00D80097">
              <w:rPr>
                <w:rFonts w:cs="Times New Roman"/>
                <w:szCs w:val="24"/>
              </w:rPr>
              <w:t>are sparse</w:t>
            </w:r>
          </w:p>
        </w:tc>
      </w:tr>
      <w:tr w:rsidR="006F6B41" w:rsidRPr="004B1D21" w14:paraId="64F3799A" w14:textId="77777777" w:rsidTr="00FA3A01">
        <w:tc>
          <w:tcPr>
            <w:tcW w:w="1131" w:type="dxa"/>
            <w:vMerge/>
          </w:tcPr>
          <w:p w14:paraId="7B3A158A" w14:textId="77777777" w:rsidR="006F6B41" w:rsidRDefault="006F6B41" w:rsidP="00FA3A01">
            <w:pPr>
              <w:rPr>
                <w:rFonts w:cs="Times New Roman"/>
                <w:szCs w:val="24"/>
              </w:rPr>
            </w:pPr>
          </w:p>
        </w:tc>
        <w:tc>
          <w:tcPr>
            <w:tcW w:w="3965" w:type="dxa"/>
          </w:tcPr>
          <w:p w14:paraId="7E593D6C" w14:textId="77777777" w:rsidR="006F6B41" w:rsidRPr="00A01668" w:rsidRDefault="006F6B41" w:rsidP="00FA3A01">
            <w:pPr>
              <w:ind w:left="30"/>
              <w:rPr>
                <w:rFonts w:cs="Times New Roman"/>
                <w:szCs w:val="24"/>
              </w:rPr>
            </w:pPr>
            <w:r w:rsidRPr="00A01668">
              <w:rPr>
                <w:rFonts w:cs="Times New Roman"/>
                <w:szCs w:val="24"/>
              </w:rPr>
              <w:t>Do not preserve the location of quantiles</w:t>
            </w:r>
          </w:p>
        </w:tc>
        <w:tc>
          <w:tcPr>
            <w:tcW w:w="3966" w:type="dxa"/>
          </w:tcPr>
          <w:p w14:paraId="409666D3" w14:textId="77777777" w:rsidR="006F6B41" w:rsidRPr="00CA6996" w:rsidRDefault="006F6B41" w:rsidP="00FA3A01">
            <w:pPr>
              <w:rPr>
                <w:rFonts w:cs="Times New Roman"/>
                <w:szCs w:val="24"/>
              </w:rPr>
            </w:pPr>
          </w:p>
        </w:tc>
      </w:tr>
    </w:tbl>
    <w:p w14:paraId="21194C4D" w14:textId="77777777" w:rsidR="000E17EF" w:rsidRDefault="000E17EF" w:rsidP="00ED4CB3"/>
    <w:sectPr w:rsidR="000E17EF" w:rsidSect="00792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913D0"/>
    <w:multiLevelType w:val="hybridMultilevel"/>
    <w:tmpl w:val="4580A0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6435D"/>
    <w:multiLevelType w:val="hybridMultilevel"/>
    <w:tmpl w:val="50B20D52"/>
    <w:lvl w:ilvl="0" w:tplc="4DEA6D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59">
    <w:abstractNumId w:val="1"/>
  </w:num>
  <w:num w:numId="2" w16cid:durableId="93324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41"/>
    <w:rsid w:val="000D36FB"/>
    <w:rsid w:val="000E17EF"/>
    <w:rsid w:val="001B33C8"/>
    <w:rsid w:val="002538B8"/>
    <w:rsid w:val="005D4F5A"/>
    <w:rsid w:val="006F6B41"/>
    <w:rsid w:val="00792A15"/>
    <w:rsid w:val="00D7563F"/>
    <w:rsid w:val="00ED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87087"/>
  <w15:chartTrackingRefBased/>
  <w15:docId w15:val="{D44D755F-5D5C-47B7-A73C-EC8071FB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B41"/>
    <w:pPr>
      <w:spacing w:after="120" w:line="48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B41"/>
    <w:pPr>
      <w:keepNext/>
      <w:keepLines/>
      <w:outlineLvl w:val="0"/>
    </w:pPr>
    <w:rPr>
      <w:rFonts w:eastAsiaTheme="majorEastAsia" w:cstheme="majorBidi"/>
      <w:cap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41"/>
    <w:rPr>
      <w:rFonts w:ascii="Times New Roman" w:eastAsiaTheme="majorEastAsia" w:hAnsi="Times New Roman" w:cstheme="majorBidi"/>
      <w:caps/>
      <w:kern w:val="0"/>
      <w:sz w:val="24"/>
      <w:szCs w:val="32"/>
      <w14:ligatures w14:val="none"/>
    </w:rPr>
  </w:style>
  <w:style w:type="table" w:styleId="TableGrid">
    <w:name w:val="Table Grid"/>
    <w:basedOn w:val="TableNormal"/>
    <w:uiPriority w:val="39"/>
    <w:rsid w:val="006F6B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6B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579</Characters>
  <Application>Microsoft Office Word</Application>
  <DocSecurity>0</DocSecurity>
  <Lines>10</Lines>
  <Paragraphs>2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My Luong Vuong</cp:lastModifiedBy>
  <cp:revision>4</cp:revision>
  <dcterms:created xsi:type="dcterms:W3CDTF">2024-12-05T13:46:00Z</dcterms:created>
  <dcterms:modified xsi:type="dcterms:W3CDTF">2024-12-05T15:25:00Z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3feb7679-5f2c-4d3d-9597-a738bd4fe28b</vt:lpwstr>
  </property>
</Properties>
</file>