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Comprehension Check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Conceptual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What are the assumptions of multinomial logistic regression?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Multinomial Logistic Regression assumes that the data is linear, that all observations are independent, that outcome categories are mutually exclusive, and that there is no multicollinearity between independent variables.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What are the data requirements?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The outcome variable must be categorical with more than 2 levels. The predictor variables can be either categorical or continuous. The relationships between the independent and dependent variables must be linear. The observations/records in the data must be independent of each other, meaning that they should not influence each other. Independent variables should not be highly correlated with each other.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In what field can we use multinomial logistic regression?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Multinomial logistic regression can be used in many different fields, such as marketing, healthcare, and social sciences, to predict outcomes like consumer preferences, disease diagnoses, and political affiliations.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What packages, if any, are required to run multinomial logistic regression?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Requires library (nnet) for multinom, to estimate a multinomial logistic regression model.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What is one way to measure for high multicollinearity?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We can use a variance inflation factor, which measures how much the behavior (variance) of an independent variable is influenced, or inflated, by its interaction/correlation with the other independent variables.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 What metrics can you use to judge your model’s performance?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Precision and recall are very important metrics to judge your classification model for an imbalanced dataset.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