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40"/>
        </w:rPr>
        <w:t>大梁江湖TRPG</w:t>
        <w:br/>
        <w:t>目录术语冻结与排版插画流程</w:t>
      </w:r>
    </w:p>
    <w:p>
      <w:pPr>
        <w:jc w:val="center"/>
      </w:pPr>
      <w:r>
        <w:rPr>
          <w:sz w:val="24"/>
        </w:rPr>
        <w:t>2026年6月19日</w:t>
      </w:r>
    </w:p>
    <w:p>
      <w:r>
        <w:rPr>
          <w:b/>
        </w:rPr>
        <w:t>文件用途：</w:t>
      </w:r>
      <w:r>
        <w:t>本稿作为“三文件对齐稿”后的下一步工作底稿，先冻结内测第一版的目录、术语口径与章节归属，同时单列规则书后续的批量排版与插画工作流，供你后面配合 Codex 组织生产。</w:t>
      </w:r>
    </w:p>
    <w:p>
      <w:pPr>
        <w:pStyle w:val="Heading1"/>
      </w:pPr>
      <w:r>
        <w:t>一、这一阶段的目标</w:t>
      </w:r>
    </w:p>
    <w:p>
      <w:r>
        <w:t>1. 不直接重写整本规则书，先把目录、术语、章节边界和写法顺序冻结下来。</w:t>
      </w:r>
    </w:p>
    <w:p>
      <w:r>
        <w:t>2. 明确玩家规则书、DM规则书、世界观总册、大小样库四者的分工，避免后面再次混写。</w:t>
      </w:r>
    </w:p>
    <w:p>
      <w:r>
        <w:t>3. 给后续正文写作准备统一口径，尤其是内功、外功、法门、装备、状态、情景、成长等数据库与正文的连接方式。</w:t>
      </w:r>
    </w:p>
    <w:p>
      <w:r>
        <w:t>4. 先把规则书的生产流程想清楚：正文怎么批量排版、插画怎么批量生成、后续如何保留给 App 使用的数据结构。</w:t>
      </w:r>
    </w:p>
    <w:p>
      <w:pPr>
        <w:pStyle w:val="Heading1"/>
      </w:pPr>
      <w:r>
        <w:t>二、内测第一版的总体分工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文件</w:t>
            </w:r>
          </w:p>
        </w:tc>
        <w:tc>
          <w:tcPr>
            <w:tcW w:type="dxa" w:w="2880"/>
          </w:tcPr>
          <w:p>
            <w:r>
              <w:t>定位</w:t>
            </w:r>
          </w:p>
        </w:tc>
        <w:tc>
          <w:tcPr>
            <w:tcW w:type="dxa" w:w="2880"/>
          </w:tcPr>
          <w:p>
            <w:r>
              <w:t>本阶段作用</w:t>
            </w:r>
          </w:p>
        </w:tc>
      </w:tr>
      <w:tr>
        <w:tc>
          <w:tcPr>
            <w:tcW w:type="dxa" w:w="2880"/>
          </w:tcPr>
          <w:p>
            <w:r>
              <w:t>玩家规则书</w:t>
            </w:r>
          </w:p>
        </w:tc>
        <w:tc>
          <w:tcPr>
            <w:tcW w:type="dxa" w:w="2880"/>
          </w:tcPr>
          <w:p>
            <w:r>
              <w:t>面向玩家的正式可读文本</w:t>
            </w:r>
          </w:p>
        </w:tc>
        <w:tc>
          <w:tcPr>
            <w:tcW w:type="dxa" w:w="2880"/>
          </w:tcPr>
          <w:p>
            <w:r>
              <w:t>作为内测桌面上桌用主文本，强调易读、可查、能玩。</w:t>
            </w:r>
          </w:p>
        </w:tc>
      </w:tr>
      <w:tr>
        <w:tc>
          <w:tcPr>
            <w:tcW w:type="dxa" w:w="2880"/>
          </w:tcPr>
          <w:p>
            <w:r>
              <w:t>DM规则书</w:t>
            </w:r>
          </w:p>
        </w:tc>
        <w:tc>
          <w:tcPr>
            <w:tcW w:type="dxa" w:w="2880"/>
          </w:tcPr>
          <w:p>
            <w:r>
              <w:t>面向主持人的裁定与投放文本</w:t>
            </w:r>
          </w:p>
        </w:tc>
        <w:tc>
          <w:tcPr>
            <w:tcW w:type="dxa" w:w="2880"/>
          </w:tcPr>
          <w:p>
            <w:r>
              <w:t>承载场景调度、敌人使用、动景、危机与解密调控、裁定建议。</w:t>
            </w:r>
          </w:p>
        </w:tc>
      </w:tr>
      <w:tr>
        <w:tc>
          <w:tcPr>
            <w:tcW w:type="dxa" w:w="2880"/>
          </w:tcPr>
          <w:p>
            <w:r>
              <w:t>梁土百科全书</w:t>
            </w:r>
          </w:p>
        </w:tc>
        <w:tc>
          <w:tcPr>
            <w:tcW w:type="dxa" w:w="2880"/>
          </w:tcPr>
          <w:p>
            <w:r>
              <w:t>世界资料书</w:t>
            </w:r>
          </w:p>
        </w:tc>
        <w:tc>
          <w:tcPr>
            <w:tcW w:type="dxa" w:w="2880"/>
          </w:tcPr>
          <w:p>
            <w:r>
              <w:t>承载地理、势力、门派、人物、江湖典故、地区风俗，不把大段世界观堆入玩家主规则。</w:t>
            </w:r>
          </w:p>
        </w:tc>
      </w:tr>
      <w:tr>
        <w:tc>
          <w:tcPr>
            <w:tcW w:type="dxa" w:w="2880"/>
          </w:tcPr>
          <w:p>
            <w:r>
              <w:t>大小样库</w:t>
            </w:r>
          </w:p>
        </w:tc>
        <w:tc>
          <w:tcPr>
            <w:tcW w:type="dxa" w:w="2880"/>
          </w:tcPr>
          <w:p>
            <w:r>
              <w:t>数据库底本</w:t>
            </w:r>
          </w:p>
        </w:tc>
        <w:tc>
          <w:tcPr>
            <w:tcW w:type="dxa" w:w="2880"/>
          </w:tcPr>
          <w:p>
            <w:r>
              <w:t>承载内功、招式、装备、药物、坐骑、文书物品等结构化条目，为规则书和 App 双方供数。</w:t>
            </w:r>
          </w:p>
        </w:tc>
      </w:tr>
    </w:tbl>
    <w:p>
      <w:pPr>
        <w:pStyle w:val="Heading1"/>
      </w:pPr>
      <w:r>
        <w:t>三、内测第一版的目录冻结建议</w:t>
      </w:r>
    </w:p>
    <w:p>
      <w:r>
        <w:t>（一）玩家规则书目录建议</w:t>
      </w:r>
    </w:p>
    <w:p>
      <w:r>
        <w:t>卷首：如何开始游戏</w:t>
      </w:r>
    </w:p>
    <w:p>
      <w:r>
        <w:t>第0章　速读：这是一款怎样的武侠TRPG</w:t>
      </w:r>
    </w:p>
    <w:p>
      <w:r>
        <w:t>第一编　角色与底层结构</w:t>
      </w:r>
    </w:p>
    <w:p>
      <w:r>
        <w:t>第1章　角色卡</w:t>
      </w:r>
    </w:p>
    <w:p>
      <w:r>
        <w:t>第2章　六根：角色的里属性</w:t>
      </w:r>
    </w:p>
    <w:p>
      <w:r>
        <w:t>第3章　内功盘</w:t>
      </w:r>
    </w:p>
    <w:p>
      <w:r>
        <w:t>第4章　表属性</w:t>
      </w:r>
    </w:p>
    <w:p>
      <w:r>
        <w:t>第二编　气骰与交锋</w:t>
      </w:r>
    </w:p>
    <w:p>
      <w:r>
        <w:t>第5章　气骰与气骰区域</w:t>
      </w:r>
    </w:p>
    <w:p>
      <w:r>
        <w:t>第6章　阴阳槽、槽值与基础触发</w:t>
      </w:r>
    </w:p>
    <w:p>
      <w:r>
        <w:t>第7章　行动类型：正式出手、出手便行、随手便行</w:t>
      </w:r>
    </w:p>
    <w:p>
      <w:r>
        <w:t>第8章　交锋流程</w:t>
      </w:r>
    </w:p>
    <w:p>
      <w:r>
        <w:t>第三编　外功、法门与响应</w:t>
      </w:r>
    </w:p>
    <w:p>
      <w:r>
        <w:t>第9章　招式总则</w:t>
      </w:r>
    </w:p>
    <w:p>
      <w:r>
        <w:t>第10章　外功</w:t>
      </w:r>
    </w:p>
    <w:p>
      <w:r>
        <w:t>第11章　法门</w:t>
      </w:r>
    </w:p>
    <w:p>
      <w:r>
        <w:t>第12章　响应：截击与应招</w:t>
      </w:r>
    </w:p>
    <w:p>
      <w:r>
        <w:t>第四编　情景、状态与成长</w:t>
      </w:r>
    </w:p>
    <w:p>
      <w:r>
        <w:t>第13章　情景模式</w:t>
      </w:r>
    </w:p>
    <w:p>
      <w:r>
        <w:t>第14章　状态、伤害与六根异常</w:t>
      </w:r>
    </w:p>
    <w:p>
      <w:r>
        <w:t>第15章　成长与修行</w:t>
      </w:r>
    </w:p>
    <w:p>
      <w:r>
        <w:t>第16章　名望、关系与资源</w:t>
      </w:r>
    </w:p>
    <w:p>
      <w:r>
        <w:t>第五编　新手创建与上桌速查</w:t>
      </w:r>
    </w:p>
    <w:p>
      <w:r>
        <w:t>第17章　新手角色创建</w:t>
      </w:r>
    </w:p>
    <w:p>
      <w:r>
        <w:t>第18章　上桌速查</w:t>
      </w:r>
    </w:p>
    <w:p>
      <w:r>
        <w:t>第19章　术语表</w:t>
      </w:r>
    </w:p>
    <w:p>
      <w:r>
        <w:t>（二）DM规则书目录建议</w:t>
      </w:r>
    </w:p>
    <w:p>
      <w:r>
        <w:t>卷首：主持本游戏前要先知道什么</w:t>
      </w:r>
    </w:p>
    <w:p>
      <w:r>
        <w:t>第0章　DM速读：如何组织一场大梁江湖TRPG</w:t>
      </w:r>
    </w:p>
    <w:p>
      <w:r>
        <w:t>第一编　裁定底层</w:t>
      </w:r>
    </w:p>
    <w:p>
      <w:r>
        <w:t>第1章　规则边界与裁定顺序</w:t>
      </w:r>
    </w:p>
    <w:p>
      <w:r>
        <w:t>第2章　场景信息公开与隐藏</w:t>
      </w:r>
    </w:p>
    <w:p>
      <w:r>
        <w:t>第3章　交锋建场、位置、动景与目标线</w:t>
      </w:r>
    </w:p>
    <w:p>
      <w:r>
        <w:t>第二编　情景组织</w:t>
      </w:r>
    </w:p>
    <w:p>
      <w:r>
        <w:t>第4章　危机值与解密值的使用</w:t>
      </w:r>
    </w:p>
    <w:p>
      <w:r>
        <w:t>第5章　情景事件、线索投放与推进节奏</w:t>
      </w:r>
    </w:p>
    <w:p>
      <w:r>
        <w:t>第6章　关系事实、名望变化与资源回收</w:t>
      </w:r>
    </w:p>
    <w:p>
      <w:r>
        <w:t>第三编　敌人、势力与条目投放</w:t>
      </w:r>
    </w:p>
    <w:p>
      <w:r>
        <w:t>第7章　NPC与敌人条目使用</w:t>
      </w:r>
    </w:p>
    <w:p>
      <w:r>
        <w:t>第8章　外功、法门、内功数据库投放口径</w:t>
      </w:r>
    </w:p>
    <w:p>
      <w:r>
        <w:t>第9章　装备、药物、坐骑与物品投放</w:t>
      </w:r>
    </w:p>
    <w:p>
      <w:r>
        <w:t>第四编　世界与长期游玩</w:t>
      </w:r>
    </w:p>
    <w:p>
      <w:r>
        <w:t>第10章　地区、势力与门派的接入方式</w:t>
      </w:r>
    </w:p>
    <w:p>
      <w:r>
        <w:t>第11章　战役成长、修行、散功与洗髓</w:t>
      </w:r>
    </w:p>
    <w:p>
      <w:r>
        <w:t>第12章　模组编排与主持工具</w:t>
      </w:r>
    </w:p>
    <w:p>
      <w:r>
        <w:t>附录　速查表、敌人模板、场景模板、记录页</w:t>
      </w:r>
    </w:p>
    <w:p>
      <w:r>
        <w:t>（三）世界观总册目录用途建议</w:t>
      </w:r>
    </w:p>
    <w:p>
      <w:r>
        <w:t>世界观总册不再承担规则解释，而是专门承载地区、势力、门派、人物、风物、逸闻、江湖术语来源等内容。规则书只摘取“和玩法直接有关”的部分做摘要引用。</w:t>
      </w:r>
    </w:p>
    <w:p>
      <w:pPr>
        <w:pStyle w:val="Heading1"/>
      </w:pPr>
      <w:r>
        <w:t>四、术语冻结与写法边界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术语</w:t>
            </w:r>
          </w:p>
        </w:tc>
        <w:tc>
          <w:tcPr>
            <w:tcW w:type="dxa" w:w="2160"/>
          </w:tcPr>
          <w:p>
            <w:r>
              <w:t>冻结口径</w:t>
            </w:r>
          </w:p>
        </w:tc>
        <w:tc>
          <w:tcPr>
            <w:tcW w:type="dxa" w:w="2160"/>
          </w:tcPr>
          <w:p>
            <w:r>
              <w:t>写进哪里</w:t>
            </w:r>
          </w:p>
        </w:tc>
        <w:tc>
          <w:tcPr>
            <w:tcW w:type="dxa" w:w="2160"/>
          </w:tcPr>
          <w:p>
            <w:r>
              <w:t>备注</w:t>
            </w:r>
          </w:p>
        </w:tc>
      </w:tr>
      <w:tr>
        <w:tc>
          <w:tcPr>
            <w:tcW w:type="dxa" w:w="2160"/>
          </w:tcPr>
          <w:p>
            <w:r>
              <w:t>六根</w:t>
            </w:r>
          </w:p>
        </w:tc>
        <w:tc>
          <w:tcPr>
            <w:tcW w:type="dxa" w:w="2160"/>
          </w:tcPr>
          <w:p>
            <w:r>
              <w:t>里属性，只在修行、内功盘、特殊事件等层面改变，不在普通交锋中频繁改写。</w:t>
            </w:r>
          </w:p>
        </w:tc>
        <w:tc>
          <w:tcPr>
            <w:tcW w:type="dxa" w:w="2160"/>
          </w:tcPr>
          <w:p>
            <w:r>
              <w:t>玩家规则书第2章；DM规则书成长部分</w:t>
            </w:r>
          </w:p>
        </w:tc>
        <w:tc>
          <w:tcPr>
            <w:tcW w:type="dxa" w:w="2160"/>
          </w:tcPr>
          <w:p>
            <w:r>
              <w:t>数值常规为1—9。</w:t>
            </w:r>
          </w:p>
        </w:tc>
      </w:tr>
      <w:tr>
        <w:tc>
          <w:tcPr>
            <w:tcW w:type="dxa" w:w="2160"/>
          </w:tcPr>
          <w:p>
            <w:r>
              <w:t>内功盘</w:t>
            </w:r>
          </w:p>
        </w:tc>
        <w:tc>
          <w:tcPr>
            <w:tcW w:type="dxa" w:w="2160"/>
          </w:tcPr>
          <w:p>
            <w:r>
              <w:t>角色构筑核心，负责占窍、读取六根、运算表属性、提供气骰来源。</w:t>
            </w:r>
          </w:p>
        </w:tc>
        <w:tc>
          <w:tcPr>
            <w:tcW w:type="dxa" w:w="2160"/>
          </w:tcPr>
          <w:p>
            <w:r>
              <w:t>玩家规则书第3章；大小样库内功库</w:t>
            </w:r>
          </w:p>
        </w:tc>
        <w:tc>
          <w:tcPr>
            <w:tcW w:type="dxa" w:w="2160"/>
          </w:tcPr>
          <w:p>
            <w:r>
              <w:t>内功不是招式。</w:t>
            </w:r>
          </w:p>
        </w:tc>
      </w:tr>
      <w:tr>
        <w:tc>
          <w:tcPr>
            <w:tcW w:type="dxa" w:w="2160"/>
          </w:tcPr>
          <w:p>
            <w:r>
              <w:t>表属性</w:t>
            </w:r>
          </w:p>
        </w:tc>
        <w:tc>
          <w:tcPr>
            <w:tcW w:type="dxa" w:w="2160"/>
          </w:tcPr>
          <w:p>
            <w:r>
              <w:t>交锋与情景中真正会被读取的当前能力，由六根经内功盘与装备等共同运算得出。</w:t>
            </w:r>
          </w:p>
        </w:tc>
        <w:tc>
          <w:tcPr>
            <w:tcW w:type="dxa" w:w="2160"/>
          </w:tcPr>
          <w:p>
            <w:r>
              <w:t>玩家规则书第4章；数据库条目说明</w:t>
            </w:r>
          </w:p>
        </w:tc>
        <w:tc>
          <w:tcPr>
            <w:tcW w:type="dxa" w:w="2160"/>
          </w:tcPr>
          <w:p>
            <w:r>
              <w:t>避免把表属性拆得过碎。</w:t>
            </w:r>
          </w:p>
        </w:tc>
      </w:tr>
      <w:tr>
        <w:tc>
          <w:tcPr>
            <w:tcW w:type="dxa" w:w="2160"/>
          </w:tcPr>
          <w:p>
            <w:r>
              <w:t>气骰</w:t>
            </w:r>
          </w:p>
        </w:tc>
        <w:tc>
          <w:tcPr>
            <w:tcW w:type="dxa" w:w="2160"/>
          </w:tcPr>
          <w:p>
            <w:r>
              <w:t>交锋中的配置资源，记录来源、气性、骰阶、当前点数、所在区域。</w:t>
            </w:r>
          </w:p>
        </w:tc>
        <w:tc>
          <w:tcPr>
            <w:tcW w:type="dxa" w:w="2160"/>
          </w:tcPr>
          <w:p>
            <w:r>
              <w:t>玩家规则书第5章</w:t>
            </w:r>
          </w:p>
        </w:tc>
        <w:tc>
          <w:tcPr>
            <w:tcW w:type="dxa" w:w="2160"/>
          </w:tcPr>
          <w:p>
            <w:r>
              <w:t>“气骰”统一写作骰子的骰。</w:t>
            </w:r>
          </w:p>
        </w:tc>
      </w:tr>
      <w:tr>
        <w:tc>
          <w:tcPr>
            <w:tcW w:type="dxa" w:w="2160"/>
          </w:tcPr>
          <w:p>
            <w:r>
              <w:t>正式出手 / 出手便行 / 随手便行</w:t>
            </w:r>
          </w:p>
        </w:tc>
        <w:tc>
          <w:tcPr>
            <w:tcW w:type="dxa" w:w="2160"/>
          </w:tcPr>
          <w:p>
            <w:r>
              <w:t>三分法固定。调息与返照归入资源动作的特殊说明，不再单独拉出独立章。</w:t>
            </w:r>
          </w:p>
        </w:tc>
        <w:tc>
          <w:tcPr>
            <w:tcW w:type="dxa" w:w="2160"/>
          </w:tcPr>
          <w:p>
            <w:r>
              <w:t>玩家规则书第7章</w:t>
            </w:r>
          </w:p>
        </w:tc>
        <w:tc>
          <w:tcPr>
            <w:tcW w:type="dxa" w:w="2160"/>
          </w:tcPr>
          <w:p>
            <w:r>
              <w:t>随手便行不承担正式规则结果。</w:t>
            </w:r>
          </w:p>
        </w:tc>
      </w:tr>
      <w:tr>
        <w:tc>
          <w:tcPr>
            <w:tcW w:type="dxa" w:w="2160"/>
          </w:tcPr>
          <w:p>
            <w:r>
              <w:t>基础效果</w:t>
            </w:r>
          </w:p>
        </w:tc>
        <w:tc>
          <w:tcPr>
            <w:tcW w:type="dxa" w:w="2160"/>
          </w:tcPr>
          <w:p>
            <w:r>
              <w:t>招式成招后直接产生的固定数值效果或固定机制效果。</w:t>
            </w:r>
          </w:p>
        </w:tc>
        <w:tc>
          <w:tcPr>
            <w:tcW w:type="dxa" w:w="2160"/>
          </w:tcPr>
          <w:p>
            <w:r>
              <w:t>招式数据库、玩家规则书第9—11章</w:t>
            </w:r>
          </w:p>
        </w:tc>
        <w:tc>
          <w:tcPr>
            <w:tcW w:type="dxa" w:w="2160"/>
          </w:tcPr>
          <w:p>
            <w:r>
              <w:t>基础效果不读表属性。</w:t>
            </w:r>
          </w:p>
        </w:tc>
      </w:tr>
      <w:tr>
        <w:tc>
          <w:tcPr>
            <w:tcW w:type="dxa" w:w="2160"/>
          </w:tcPr>
          <w:p>
            <w:r>
              <w:t>槽值触发</w:t>
            </w:r>
          </w:p>
        </w:tc>
        <w:tc>
          <w:tcPr>
            <w:tcW w:type="dxa" w:w="2160"/>
          </w:tcPr>
          <w:p>
            <w:r>
              <w:t>由阴值、阳值、合值、阴阳差触发的附加效果或风险。</w:t>
            </w:r>
          </w:p>
        </w:tc>
        <w:tc>
          <w:tcPr>
            <w:tcW w:type="dxa" w:w="2160"/>
          </w:tcPr>
          <w:p>
            <w:r>
              <w:t>招式数据库、玩家规则书第6章和第9章</w:t>
            </w:r>
          </w:p>
        </w:tc>
        <w:tc>
          <w:tcPr>
            <w:tcW w:type="dxa" w:w="2160"/>
          </w:tcPr>
          <w:p>
            <w:r>
              <w:t>一条招式一般不写过多触发。</w:t>
            </w:r>
          </w:p>
        </w:tc>
      </w:tr>
      <w:tr>
        <w:tc>
          <w:tcPr>
            <w:tcW w:type="dxa" w:w="2160"/>
          </w:tcPr>
          <w:p>
            <w:r>
              <w:t>截击</w:t>
            </w:r>
          </w:p>
        </w:tc>
        <w:tc>
          <w:tcPr>
            <w:tcW w:type="dxa" w:w="2160"/>
          </w:tcPr>
          <w:p>
            <w:r>
              <w:t>发生在宣言后、配置前，处理动作成形条件。</w:t>
            </w:r>
          </w:p>
        </w:tc>
        <w:tc>
          <w:tcPr>
            <w:tcW w:type="dxa" w:w="2160"/>
          </w:tcPr>
          <w:p>
            <w:r>
              <w:t>玩家规则书第12章；DM规则书裁定部分</w:t>
            </w:r>
          </w:p>
        </w:tc>
        <w:tc>
          <w:tcPr>
            <w:tcW w:type="dxa" w:w="2160"/>
          </w:tcPr>
          <w:p>
            <w:r>
              <w:t>不再写成降阶。</w:t>
            </w:r>
          </w:p>
        </w:tc>
      </w:tr>
      <w:tr>
        <w:tc>
          <w:tcPr>
            <w:tcW w:type="dxa" w:w="2160"/>
          </w:tcPr>
          <w:p>
            <w:r>
              <w:t>应招</w:t>
            </w:r>
          </w:p>
        </w:tc>
        <w:tc>
          <w:tcPr>
            <w:tcW w:type="dxa" w:w="2160"/>
          </w:tcPr>
          <w:p>
            <w:r>
              <w:t>发生在成招定值后、落果前，处理已经形成但尚未落地的结果。</w:t>
            </w:r>
          </w:p>
        </w:tc>
        <w:tc>
          <w:tcPr>
            <w:tcW w:type="dxa" w:w="2160"/>
          </w:tcPr>
          <w:p>
            <w:r>
              <w:t>玩家规则书第12章</w:t>
            </w:r>
          </w:p>
        </w:tc>
        <w:tc>
          <w:tcPr>
            <w:tcW w:type="dxa" w:w="2160"/>
          </w:tcPr>
          <w:p>
            <w:r>
              <w:t>处理落果，不处理宣言合法性。</w:t>
            </w:r>
          </w:p>
        </w:tc>
      </w:tr>
      <w:tr>
        <w:tc>
          <w:tcPr>
            <w:tcW w:type="dxa" w:w="2160"/>
          </w:tcPr>
          <w:p>
            <w:r>
              <w:t>势</w:t>
            </w:r>
          </w:p>
        </w:tc>
        <w:tc>
          <w:tcPr>
            <w:tcW w:type="dxa" w:w="2160"/>
          </w:tcPr>
          <w:p>
            <w:r>
              <w:t>属于交锋中的状态性门槛，不是长期属性；由招式与部分响应修正。</w:t>
            </w:r>
          </w:p>
        </w:tc>
        <w:tc>
          <w:tcPr>
            <w:tcW w:type="dxa" w:w="2160"/>
          </w:tcPr>
          <w:p>
            <w:r>
              <w:t>交锋与招式章节</w:t>
            </w:r>
          </w:p>
        </w:tc>
        <w:tc>
          <w:tcPr>
            <w:tcW w:type="dxa" w:w="2160"/>
          </w:tcPr>
          <w:p>
            <w:r>
              <w:t>本阶段先冻结“势只在交锋规则与招式中出现”，具体六面态与改写细则在正文阶段精写。</w:t>
            </w:r>
          </w:p>
        </w:tc>
      </w:tr>
      <w:tr>
        <w:tc>
          <w:tcPr>
            <w:tcW w:type="dxa" w:w="2160"/>
          </w:tcPr>
          <w:p>
            <w:r>
              <w:t>世界观设定</w:t>
            </w:r>
          </w:p>
        </w:tc>
        <w:tc>
          <w:tcPr>
            <w:tcW w:type="dxa" w:w="2160"/>
          </w:tcPr>
          <w:p>
            <w:r>
              <w:t>只保留和规则上桌直接有关的部分进入主规则，其余留在世界总册。</w:t>
            </w:r>
          </w:p>
        </w:tc>
        <w:tc>
          <w:tcPr>
            <w:tcW w:type="dxa" w:w="2160"/>
          </w:tcPr>
          <w:p>
            <w:r>
              <w:t>世界观总册与DM规则书</w:t>
            </w:r>
          </w:p>
        </w:tc>
        <w:tc>
          <w:tcPr>
            <w:tcW w:type="dxa" w:w="2160"/>
          </w:tcPr>
          <w:p>
            <w:r>
              <w:t>避免规则书被大段设定淹没。</w:t>
            </w:r>
          </w:p>
        </w:tc>
      </w:tr>
    </w:tbl>
    <w:p>
      <w:pPr>
        <w:pStyle w:val="Heading1"/>
      </w:pPr>
      <w:r>
        <w:t>五、后续正文重构建议步骤</w:t>
      </w:r>
    </w:p>
    <w:p>
      <w:r>
        <w:t>步骤一：冻结目录、术语和章节边界。</w:t>
      </w:r>
    </w:p>
    <w:p>
      <w:r>
        <w:t>步骤二：重编玩家规则书第一编与第二编，确保“角色—内功—表属性—气骰—交锋流程”顺序完全清楚。</w:t>
      </w:r>
    </w:p>
    <w:p>
      <w:r>
        <w:t>步骤三：重编玩家规则书第三编，重点处理外功、法门、截击、应招和基础效果/槽值触发写法。</w:t>
      </w:r>
    </w:p>
    <w:p>
      <w:r>
        <w:t>步骤四：重编玩家规则书第四编与第五编，处理情景模式、状态、成长、名望、资源、新手流程与速查。</w:t>
      </w:r>
    </w:p>
    <w:p>
      <w:r>
        <w:t>步骤五：重编DM规则书，专门处理裁定、投放、敌人、动景、危机值与解密值。</w:t>
      </w:r>
    </w:p>
    <w:p>
      <w:r>
        <w:t>步骤六：把世界观总册中和玩法紧密相关的部分摘出，做规则书内的世界摘要与边栏。</w:t>
      </w:r>
    </w:p>
    <w:p>
      <w:r>
        <w:t>步骤七：用大小样库回校正文，保证内功、招式、装备等条目的写法与正文一致。</w:t>
      </w:r>
    </w:p>
    <w:p>
      <w:r>
        <w:t>步骤八：统一排版、插图、速查页和封面，形成内测第一版。</w:t>
      </w:r>
    </w:p>
    <w:p>
      <w:pPr>
        <w:pStyle w:val="Heading1"/>
      </w:pPr>
      <w:r>
        <w:t>六、如何批量做规则书排版</w:t>
      </w:r>
    </w:p>
    <w:p>
      <w:r>
        <w:t>建议你不要直接在 Word 里手工一页一页做到底。最稳的方式，是把“内容层、样式层、资源层”分开。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层级</w:t>
            </w:r>
          </w:p>
        </w:tc>
        <w:tc>
          <w:tcPr>
            <w:tcW w:type="dxa" w:w="2160"/>
          </w:tcPr>
          <w:p>
            <w:r>
              <w:t>内容</w:t>
            </w:r>
          </w:p>
        </w:tc>
        <w:tc>
          <w:tcPr>
            <w:tcW w:type="dxa" w:w="2160"/>
          </w:tcPr>
          <w:p>
            <w:r>
              <w:t>推荐工具</w:t>
            </w:r>
          </w:p>
        </w:tc>
        <w:tc>
          <w:tcPr>
            <w:tcW w:type="dxa" w:w="2160"/>
          </w:tcPr>
          <w:p>
            <w:r>
              <w:t>Codex 可以做什么</w:t>
            </w:r>
          </w:p>
        </w:tc>
      </w:tr>
      <w:tr>
        <w:tc>
          <w:tcPr>
            <w:tcW w:type="dxa" w:w="2160"/>
          </w:tcPr>
          <w:p>
            <w:r>
              <w:t>内容层</w:t>
            </w:r>
          </w:p>
        </w:tc>
        <w:tc>
          <w:tcPr>
            <w:tcW w:type="dxa" w:w="2160"/>
          </w:tcPr>
          <w:p>
            <w:r>
              <w:t>规则正文、术语表、章节说明、数据库摘要。</w:t>
            </w:r>
          </w:p>
        </w:tc>
        <w:tc>
          <w:tcPr>
            <w:tcW w:type="dxa" w:w="2160"/>
          </w:tcPr>
          <w:p>
            <w:r>
              <w:t>Markdown / DOCX / CSV / JSON</w:t>
            </w:r>
          </w:p>
        </w:tc>
        <w:tc>
          <w:tcPr>
            <w:tcW w:type="dxa" w:w="2160"/>
          </w:tcPr>
          <w:p>
            <w:r>
              <w:t>帮你清洗文本、拆章节、统一标题层级、生成目录页与术语索引。</w:t>
            </w:r>
          </w:p>
        </w:tc>
      </w:tr>
      <w:tr>
        <w:tc>
          <w:tcPr>
            <w:tcW w:type="dxa" w:w="2160"/>
          </w:tcPr>
          <w:p>
            <w:r>
              <w:t>样式层</w:t>
            </w:r>
          </w:p>
        </w:tc>
        <w:tc>
          <w:tcPr>
            <w:tcW w:type="dxa" w:w="2160"/>
          </w:tcPr>
          <w:p>
            <w:r>
              <w:t>页面尺寸、页眉页脚、目录样式、章标题、边栏、表格风格。</w:t>
            </w:r>
          </w:p>
        </w:tc>
        <w:tc>
          <w:tcPr>
            <w:tcW w:type="dxa" w:w="2160"/>
          </w:tcPr>
          <w:p>
            <w:r>
              <w:t>Typst、InDesign、Affinity Publisher、Word 模板</w:t>
            </w:r>
          </w:p>
        </w:tc>
        <w:tc>
          <w:tcPr>
            <w:tcW w:type="dxa" w:w="2160"/>
          </w:tcPr>
          <w:p>
            <w:r>
              <w:t>帮你写模板、样式表、自动编号、批量导入脚本。</w:t>
            </w:r>
          </w:p>
        </w:tc>
      </w:tr>
      <w:tr>
        <w:tc>
          <w:tcPr>
            <w:tcW w:type="dxa" w:w="2160"/>
          </w:tcPr>
          <w:p>
            <w:r>
              <w:t>资源层</w:t>
            </w:r>
          </w:p>
        </w:tc>
        <w:tc>
          <w:tcPr>
            <w:tcW w:type="dxa" w:w="2160"/>
          </w:tcPr>
          <w:p>
            <w:r>
              <w:t>插图、图标、分隔线、表格、角色卡、速查页。</w:t>
            </w:r>
          </w:p>
        </w:tc>
        <w:tc>
          <w:tcPr>
            <w:tcW w:type="dxa" w:w="2160"/>
          </w:tcPr>
          <w:p>
            <w:r>
              <w:t>图片模型、SVG 图标库、表格模板</w:t>
            </w:r>
          </w:p>
        </w:tc>
        <w:tc>
          <w:tcPr>
            <w:tcW w:type="dxa" w:w="2160"/>
          </w:tcPr>
          <w:p>
            <w:r>
              <w:t>帮你批量重命名、生成素材清单、把图片自动插入对应版位。</w:t>
            </w:r>
          </w:p>
        </w:tc>
      </w:tr>
    </w:tbl>
    <w:p>
      <w:r>
        <w:t>推荐的实际做法有两种：</w:t>
      </w:r>
    </w:p>
    <w:p>
      <w:r>
        <w:t>方案A（更适合你现在）：Word 继续写稿，等正文大体稳定后，交给 Codex 帮你把规则书转成 Typst 或 InDesign 脚本化排版。这样前期改稿灵活，后期成书更整齐。</w:t>
      </w:r>
    </w:p>
    <w:p>
      <w:r>
        <w:t>方案B（一步到位）：从现在开始就用“章节 Markdown + 术语 CSV + 数据库 Excel”的结构化源文件，Codex 帮你自动编译成 PDF 书稿。这样最利于后面做 App。</w:t>
      </w:r>
    </w:p>
    <w:p>
      <w:r>
        <w:t>我更建议方案A过渡到方案B：先完成内测第一版，再做结构化升级。</w:t>
      </w:r>
    </w:p>
    <w:p>
      <w:r>
        <w:t>批量排版的最小工作流建议如下：</w:t>
      </w:r>
    </w:p>
    <w:p>
      <w:r>
        <w:t>1. 先建立统一文件夹：/manuscript（正文）、/assets（插图）、/tables（表格）、/layout（模板）、/export（导出成品）。</w:t>
      </w:r>
    </w:p>
    <w:p>
      <w:r>
        <w:t>2. 把所有章节文件单独命名，例如 01_角色卡、02_六根、03_内功盘。</w:t>
      </w:r>
    </w:p>
    <w:p>
      <w:r>
        <w:t>3. 统一标题级别：章、节、目、条，不允许混乱手打字号。</w:t>
      </w:r>
    </w:p>
    <w:p>
      <w:r>
        <w:t>4. 统一表格样式：规则表、术语表、示例表三种即可，不要每页一种样式。</w:t>
      </w:r>
    </w:p>
    <w:p>
      <w:r>
        <w:t>5. 给每个插图预留占位符，例如【插图P-03-1：小周天运气示意】。</w:t>
      </w:r>
    </w:p>
    <w:p>
      <w:r>
        <w:t>6. 让 Codex 根据占位符批量插入图注、图片路径、页内锚点。</w:t>
      </w:r>
    </w:p>
    <w:p>
      <w:r>
        <w:t>7. 最后统一导出 PDF 与印刷版。</w:t>
      </w:r>
    </w:p>
    <w:p>
      <w:pPr>
        <w:pStyle w:val="Heading1"/>
      </w:pPr>
      <w:r>
        <w:t>七、如何批量做插画</w:t>
      </w:r>
    </w:p>
    <w:p>
      <w:r>
        <w:t>可以，Codex 可以参与，但不要把它当成图像模型本身。它最擅长的是“搭工作流、批量组织、自动命名、自动分发、自动回收结果”。真正出图，需要接入图像生成模型。</w:t>
      </w:r>
    </w:p>
    <w:p>
      <w:r>
        <w:t>建议把插画分成四类，分开处理：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插画类型</w:t>
            </w:r>
          </w:p>
        </w:tc>
        <w:tc>
          <w:tcPr>
            <w:tcW w:type="dxa" w:w="2160"/>
          </w:tcPr>
          <w:p>
            <w:r>
              <w:t>用途</w:t>
            </w:r>
          </w:p>
        </w:tc>
        <w:tc>
          <w:tcPr>
            <w:tcW w:type="dxa" w:w="2160"/>
          </w:tcPr>
          <w:p>
            <w:r>
              <w:t>建议生成方式</w:t>
            </w:r>
          </w:p>
        </w:tc>
        <w:tc>
          <w:tcPr>
            <w:tcW w:type="dxa" w:w="2160"/>
          </w:tcPr>
          <w:p>
            <w:r>
              <w:t>数量建议</w:t>
            </w:r>
          </w:p>
        </w:tc>
      </w:tr>
      <w:tr>
        <w:tc>
          <w:tcPr>
            <w:tcW w:type="dxa" w:w="2160"/>
          </w:tcPr>
          <w:p>
            <w:r>
              <w:t>章节题图</w:t>
            </w:r>
          </w:p>
        </w:tc>
        <w:tc>
          <w:tcPr>
            <w:tcW w:type="dxa" w:w="2160"/>
          </w:tcPr>
          <w:p>
            <w:r>
              <w:t>每一编或每一章的氛围图</w:t>
            </w:r>
          </w:p>
        </w:tc>
        <w:tc>
          <w:tcPr>
            <w:tcW w:type="dxa" w:w="2160"/>
          </w:tcPr>
          <w:p>
            <w:r>
              <w:t>用统一画风批量生成</w:t>
            </w:r>
          </w:p>
        </w:tc>
        <w:tc>
          <w:tcPr>
            <w:tcW w:type="dxa" w:w="2160"/>
          </w:tcPr>
          <w:p>
            <w:r>
              <w:t>每编1张、重点章各1张</w:t>
            </w:r>
          </w:p>
        </w:tc>
      </w:tr>
      <w:tr>
        <w:tc>
          <w:tcPr>
            <w:tcW w:type="dxa" w:w="2160"/>
          </w:tcPr>
          <w:p>
            <w:r>
              <w:t>规则示意图</w:t>
            </w:r>
          </w:p>
        </w:tc>
        <w:tc>
          <w:tcPr>
            <w:tcW w:type="dxa" w:w="2160"/>
          </w:tcPr>
          <w:p>
            <w:r>
              <w:t>如气骰区域、交锋流程、内功盘读取示意</w:t>
            </w:r>
          </w:p>
        </w:tc>
        <w:tc>
          <w:tcPr>
            <w:tcW w:type="dxa" w:w="2160"/>
          </w:tcPr>
          <w:p>
            <w:r>
              <w:t>先人工确定结构，再让 Codex 或脚本化制图辅助</w:t>
            </w:r>
          </w:p>
        </w:tc>
        <w:tc>
          <w:tcPr>
            <w:tcW w:type="dxa" w:w="2160"/>
          </w:tcPr>
          <w:p>
            <w:r>
              <w:t>每个核心系统1—3张</w:t>
            </w:r>
          </w:p>
        </w:tc>
      </w:tr>
      <w:tr>
        <w:tc>
          <w:tcPr>
            <w:tcW w:type="dxa" w:w="2160"/>
          </w:tcPr>
          <w:p>
            <w:r>
              <w:t>世界观插图</w:t>
            </w:r>
          </w:p>
        </w:tc>
        <w:tc>
          <w:tcPr>
            <w:tcW w:type="dxa" w:w="2160"/>
          </w:tcPr>
          <w:p>
            <w:r>
              <w:t>地理、门派、人物、地区风物</w:t>
            </w:r>
          </w:p>
        </w:tc>
        <w:tc>
          <w:tcPr>
            <w:tcW w:type="dxa" w:w="2160"/>
          </w:tcPr>
          <w:p>
            <w:r>
              <w:t>按世界总册拆批次生成</w:t>
            </w:r>
          </w:p>
        </w:tc>
        <w:tc>
          <w:tcPr>
            <w:tcW w:type="dxa" w:w="2160"/>
          </w:tcPr>
          <w:p>
            <w:r>
              <w:t>先做30—60张精选</w:t>
            </w:r>
          </w:p>
        </w:tc>
      </w:tr>
      <w:tr>
        <w:tc>
          <w:tcPr>
            <w:tcW w:type="dxa" w:w="2160"/>
          </w:tcPr>
          <w:p>
            <w:r>
              <w:t>装饰素材</w:t>
            </w:r>
          </w:p>
        </w:tc>
        <w:tc>
          <w:tcPr>
            <w:tcW w:type="dxa" w:w="2160"/>
          </w:tcPr>
          <w:p>
            <w:r>
              <w:t>章首花纹、页边小图、分隔线、徽记</w:t>
            </w:r>
          </w:p>
        </w:tc>
        <w:tc>
          <w:tcPr>
            <w:tcW w:type="dxa" w:w="2160"/>
          </w:tcPr>
          <w:p>
            <w:r>
              <w:t>统一风格小图批量出</w:t>
            </w:r>
          </w:p>
        </w:tc>
        <w:tc>
          <w:tcPr>
            <w:tcW w:type="dxa" w:w="2160"/>
          </w:tcPr>
          <w:p>
            <w:r>
              <w:t>可大量生成，后期挑选</w:t>
            </w:r>
          </w:p>
        </w:tc>
      </w:tr>
    </w:tbl>
    <w:p>
      <w:r>
        <w:t>最适合你的批量插画工作流：</w:t>
      </w:r>
    </w:p>
    <w:p>
      <w:r>
        <w:t>1. 先做“插画清单表”。字段至少包括：编号、章节、插图用途、主体、场景、情绪、必须元素、禁止元素、画幅、风格锚点、是否需要留白。</w:t>
      </w:r>
    </w:p>
    <w:p>
      <w:r>
        <w:t>2. 再做“风格圣经”。先选定一套总风格，例如写意武侠插画、半工笔江湖图、旧书版画感、写实偏国风。不要每章换一种画风。</w:t>
      </w:r>
    </w:p>
    <w:p>
      <w:r>
        <w:t>3. 每次只批量生成同一类图。例如先出全部章节题图，再出全部门派人物，再出全部规则示意图。</w:t>
      </w:r>
    </w:p>
    <w:p>
      <w:r>
        <w:t>4. Codex 帮你自动生成 prompt 清单、批量命名、把结果下载归档到对应章节文件夹。</w:t>
      </w:r>
    </w:p>
    <w:p>
      <w:r>
        <w:t>5. 人工审核后，再让 Codex 把入选图自动插入到规则书模板中的预留位置。</w:t>
      </w:r>
    </w:p>
    <w:p>
      <w:r>
        <w:t>Codex 在插画环节最适合承担的工作：</w:t>
      </w:r>
    </w:p>
    <w:p>
      <w:r>
        <w:t>· 根据章节标题和插图清单，自动写出成批 prompt。</w:t>
      </w:r>
    </w:p>
    <w:p>
      <w:r>
        <w:t>· 按“玩家规则书 / DM规则书 / 世界总册 / 装饰素材”自动分类。</w:t>
      </w:r>
    </w:p>
    <w:p>
      <w:r>
        <w:t>· 自动给图片命名，例如 P09_外功_题图_001、W03_梁州山路_002。</w:t>
      </w:r>
    </w:p>
    <w:p>
      <w:r>
        <w:t>· 自动生成图片索引表，记录每张图对应的章节、页码和说明。</w:t>
      </w:r>
    </w:p>
    <w:p>
      <w:r>
        <w:t>· 后期统一压缩、裁切、转格式、插入版面。</w:t>
      </w:r>
    </w:p>
    <w:p>
      <w:r>
        <w:t>Codex 不适合单独承担的工作：</w:t>
      </w:r>
    </w:p>
    <w:p>
      <w:r>
        <w:t>· 它本身不是最终的图像审美裁判，不能替你决定哪些图真的适合印书。</w:t>
      </w:r>
    </w:p>
    <w:p>
      <w:r>
        <w:t>· 它也不是单独的高质量图像模型，仍需接入可用的图像生成能力。</w:t>
      </w:r>
    </w:p>
    <w:p>
      <w:r>
        <w:t>· 它无法天然保证数十张图全都画风稳定，仍需你先做风格锚定与人工复审。</w:t>
      </w:r>
    </w:p>
    <w:p>
      <w:pPr>
        <w:pStyle w:val="Heading1"/>
      </w:pPr>
      <w:r>
        <w:t>八、为后续 App 预留但不写入规则书的东西</w:t>
      </w:r>
    </w:p>
    <w:p>
      <w:r>
        <w:t>1. 规则书里不要出现“开发端提示”“数据库口径”“给程序看的字段说明”。这些留在数据库和开发文档。</w:t>
      </w:r>
    </w:p>
    <w:p>
      <w:r>
        <w:t>2. 但从现在起，章节和数据库名称应尽量统一，例如“内功盘”“表属性”“气骰区域”“状态”“资源”。后面做 App 时就能直接复用。</w:t>
      </w:r>
    </w:p>
    <w:p>
      <w:r>
        <w:t>3. 规则正文写人话，数据库写结构，二者一一对应。这样规则书可读，App 也能落地。</w:t>
      </w:r>
    </w:p>
    <w:p>
      <w:r>
        <w:t>4. 插图文件名、章节编号、条目编号也要统一，后续 App 的图鉴、条目页、检索页都能调用。</w:t>
      </w:r>
    </w:p>
    <w:p>
      <w:pPr>
        <w:pStyle w:val="Heading1"/>
      </w:pPr>
      <w:r>
        <w:t>九、我对你当前问题的直接建议</w:t>
      </w:r>
    </w:p>
    <w:p>
      <w:r>
        <w:t>第一，不要急着一次性把整本书写完再考虑排版。现在就把“目录冻结、术语冻结、插图占位、章节编号”一起做。</w:t>
      </w:r>
    </w:p>
    <w:p>
      <w:r>
        <w:t>第二，Codex 非常适合帮你搭“规则书生产流水线”，包括模板、目录、样式、批量插图清单、批量导图、批量插入。</w:t>
      </w:r>
    </w:p>
    <w:p>
      <w:r>
        <w:t>第三，真正的大量插画可以做，但要先做风格锚定，不然最后会东一张西一张。</w:t>
      </w:r>
    </w:p>
    <w:p>
      <w:r>
        <w:t>第四，规则书和 App 可以同步考虑，但表达必须分层：规则书负责给玩家看，数据库和开发文档负责给 App 看。</w:t>
      </w:r>
    </w:p>
    <w:p>
      <w:pPr>
        <w:pStyle w:val="Heading1"/>
      </w:pPr>
      <w:r>
        <w:t>十、下一步建议</w:t>
      </w:r>
    </w:p>
    <w:p>
      <w:r>
        <w:t>下一步就进入“目录冻结后的第一轮正文重编”。建议先从玩家规则书第一编和第二编开始，也就是：角色卡、六根、内功盘、表属性、气骰、阴阳槽、行动类型、交锋流程。把最底层的玩家阅读顺序彻底理顺后，再继续第三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