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b/>
          <w:sz w:val="48"/>
        </w:rPr>
        <w:t>Das Berkeley-Paradoxon</w:t>
      </w:r>
    </w:p>
    <w:p>
      <w:pPr>
        <w:jc w:val="center"/>
      </w:pPr>
      <w:r>
        <w:rPr>
          <w:sz w:val="28"/>
        </w:rPr>
        <w:t>Zulassungen an der UC Berkeley 1973: Funktionen in Python,</w:t>
        <w:br/>
        <w:t>Visualisierung und stochastische Unabhängigkeit</w:t>
      </w:r>
    </w:p>
    <w:p/>
    <w:p>
      <w:pPr>
        <w:jc w:val="center"/>
      </w:pPr>
      <w:r>
        <w:rPr>
          <w:sz w:val="24"/>
        </w:rPr>
        <w:t>Schriftliche Ausarbeitung zu Aufgabe 4 (Vortrag 4: Python)</w:t>
      </w:r>
    </w:p>
    <w:p/>
    <w:p/>
    <w:p/>
    <w:p/>
    <w:p/>
    <w:p/>
    <w:p>
      <w:pPr>
        <w:jc w:val="center"/>
      </w:pPr>
      <w:r>
        <w:rPr>
          <w:b/>
        </w:rPr>
        <w:t xml:space="preserve">Gruppe: </w:t>
      </w:r>
      <w:r>
        <w:t>Leorat Krasniqi, Teoman-Doganay Lam, Filip Lazic</w:t>
      </w:r>
    </w:p>
    <w:p>
      <w:pPr>
        <w:jc w:val="center"/>
      </w:pPr>
      <w:r>
        <w:rPr>
          <w:b/>
        </w:rPr>
        <w:t xml:space="preserve">Modul: </w:t>
      </w:r>
      <w:r>
        <w:t>Statistik (w.BA.XX.2Stat-WIN.XX), Wirtschaftsinformatik, 3. Semester</w:t>
      </w:r>
    </w:p>
    <w:p>
      <w:pPr>
        <w:jc w:val="center"/>
      </w:pPr>
      <w:r>
        <w:rPr>
          <w:b/>
        </w:rPr>
        <w:t xml:space="preserve">Kleinklasse: </w:t>
      </w:r>
      <w:r>
        <w:t>HS 2026, ZHAW School of Management and Law</w:t>
      </w:r>
    </w:p>
    <w:p>
      <w:pPr>
        <w:jc w:val="center"/>
      </w:pPr>
      <w:r>
        <w:rPr>
          <w:b/>
        </w:rPr>
        <w:t xml:space="preserve">Vortragswoche: </w:t>
      </w:r>
      <w:r>
        <w:t>6</w:t>
      </w:r>
    </w:p>
    <w:p>
      <w:pPr>
        <w:jc w:val="center"/>
      </w:pPr>
      <w:r>
        <w:rPr>
          <w:b/>
        </w:rPr>
        <w:t xml:space="preserve">Abgabe: </w:t>
      </w:r>
      <w:r>
        <w:t>spätestens 14.12.2026</w:t>
      </w:r>
    </w:p>
    <w:p>
      <w:pPr>
        <w:sectPr>
          <w:pgSz w:w="12240" w:h="15840"/>
          <w:pgMar w:top="1417" w:right="1417" w:bottom="1417" w:left="1417" w:header="720" w:footer="720" w:gutter="0"/>
          <w:cols w:space="720"/>
          <w:docGrid w:linePitch="360"/>
        </w:sectPr>
      </w:pPr>
    </w:p>
    <w:p>
      <w:pPr>
        <w:spacing w:after="240"/>
      </w:pPr>
      <w:r>
        <w:rPr>
          <w:b/>
          <w:color w:val="1F3A5F"/>
          <w:sz w:val="30"/>
        </w:rPr>
        <w:t>Inhaltsverzeichnis</w:t>
      </w:r>
    </w:p>
    <w:p>
      <w:pPr>
        <w:tabs>
          <w:tab w:pos="9071" w:val="right" w:leader="dot"/>
        </w:tabs>
        <w:spacing w:before="160" w:after="40"/>
        <w:ind w:left="0"/>
      </w:pPr>
      <w:r>
        <w:fldChar w:fldCharType="begin"/>
        <w:instrText xml:space="preserve">TOC \o "1-2" \h \z \u</w:instrText>
        <w:fldChar w:fldCharType="separate"/>
      </w:r>
      <w:r>
        <w:rPr>
          <w:b/>
        </w:rPr>
        <w:t>1 Ausgangslage und Aufgabenstellung</w:t>
        <w:tab/>
        <w:t>3</w:t>
      </w:r>
    </w:p>
    <w:p>
      <w:pPr>
        <w:tabs>
          <w:tab w:pos="9071" w:val="right" w:leader="dot"/>
        </w:tabs>
        <w:spacing w:before="160" w:after="40"/>
        <w:ind w:left="0"/>
      </w:pPr>
      <w:r>
        <w:rPr>
          <w:b/>
        </w:rPr>
        <w:t>2 Funktionen in Python (Aufgabe a)</w:t>
        <w:tab/>
        <w:t>3</w:t>
      </w:r>
    </w:p>
    <w:p>
      <w:pPr>
        <w:tabs>
          <w:tab w:pos="9071" w:val="right" w:leader="dot"/>
        </w:tabs>
        <w:spacing w:before="0" w:after="40"/>
        <w:ind w:left="454"/>
      </w:pPr>
      <w:r>
        <w:rPr>
          <w:b w:val="0"/>
        </w:rPr>
        <w:t>2.1 Deklaration, Rückgabe und Argumente</w:t>
        <w:tab/>
        <w:t>4</w:t>
      </w:r>
    </w:p>
    <w:p>
      <w:pPr>
        <w:tabs>
          <w:tab w:pos="9071" w:val="right" w:leader="dot"/>
        </w:tabs>
        <w:spacing w:before="0" w:after="40"/>
        <w:ind w:left="454"/>
      </w:pPr>
      <w:r>
        <w:rPr>
          <w:b w:val="0"/>
        </w:rPr>
        <w:t>2.2 Namensraum und Gültigkeitsbereich</w:t>
        <w:tab/>
        <w:t>4</w:t>
      </w:r>
    </w:p>
    <w:p>
      <w:pPr>
        <w:tabs>
          <w:tab w:pos="9071" w:val="right" w:leader="dot"/>
        </w:tabs>
        <w:spacing w:before="0" w:after="40"/>
        <w:ind w:left="454"/>
      </w:pPr>
      <w:r>
        <w:rPr>
          <w:b w:val="0"/>
        </w:rPr>
        <w:t>2.3 Mehrere Rückgabewerte</w:t>
        <w:tab/>
        <w:t>5</w:t>
      </w:r>
    </w:p>
    <w:p>
      <w:pPr>
        <w:tabs>
          <w:tab w:pos="9071" w:val="right" w:leader="dot"/>
        </w:tabs>
        <w:spacing w:before="0" w:after="40"/>
        <w:ind w:left="454"/>
      </w:pPr>
      <w:r>
        <w:rPr>
          <w:b w:val="0"/>
        </w:rPr>
        <w:t>2.4 Funktionen sind Objekte</w:t>
        <w:tab/>
        <w:t>5</w:t>
      </w:r>
    </w:p>
    <w:p>
      <w:pPr>
        <w:tabs>
          <w:tab w:pos="9071" w:val="right" w:leader="dot"/>
        </w:tabs>
        <w:spacing w:before="0" w:after="40"/>
        <w:ind w:left="454"/>
      </w:pPr>
      <w:r>
        <w:rPr>
          <w:b w:val="0"/>
        </w:rPr>
        <w:t>2.5 Lambda-Funktionen und Currying</w:t>
        <w:tab/>
        <w:t>6</w:t>
      </w:r>
    </w:p>
    <w:p>
      <w:pPr>
        <w:tabs>
          <w:tab w:pos="9071" w:val="right" w:leader="dot"/>
        </w:tabs>
        <w:spacing w:before="0" w:after="40"/>
        <w:ind w:left="454"/>
      </w:pPr>
      <w:r>
        <w:rPr>
          <w:b w:val="0"/>
        </w:rPr>
        <w:t>2.6 Generatoren</w:t>
        <w:tab/>
        <w:t>6</w:t>
      </w:r>
    </w:p>
    <w:p>
      <w:pPr>
        <w:tabs>
          <w:tab w:pos="9071" w:val="right" w:leader="dot"/>
        </w:tabs>
        <w:spacing w:before="0" w:after="40"/>
        <w:ind w:left="454"/>
      </w:pPr>
      <w:r>
        <w:rPr>
          <w:b w:val="0"/>
        </w:rPr>
        <w:t>2.7 Fehler und Ausnahmebehandlung</w:t>
        <w:tab/>
        <w:t>6</w:t>
      </w:r>
    </w:p>
    <w:p>
      <w:pPr>
        <w:tabs>
          <w:tab w:pos="9071" w:val="right" w:leader="dot"/>
        </w:tabs>
        <w:spacing w:before="160" w:after="40"/>
        <w:ind w:left="0"/>
      </w:pPr>
      <w:r>
        <w:rPr>
          <w:b/>
        </w:rPr>
        <w:t>3 Statistische Grundlagen</w:t>
        <w:tab/>
        <w:t>6</w:t>
      </w:r>
    </w:p>
    <w:p>
      <w:pPr>
        <w:tabs>
          <w:tab w:pos="9071" w:val="right" w:leader="dot"/>
        </w:tabs>
        <w:spacing w:before="0" w:after="40"/>
        <w:ind w:left="454"/>
      </w:pPr>
      <w:r>
        <w:rPr>
          <w:b w:val="0"/>
        </w:rPr>
        <w:t>3.1 Kreuztabellen und Wahrscheinlichkeitstabellen</w:t>
        <w:tab/>
        <w:t>6</w:t>
      </w:r>
    </w:p>
    <w:p>
      <w:pPr>
        <w:tabs>
          <w:tab w:pos="9071" w:val="right" w:leader="dot"/>
        </w:tabs>
        <w:spacing w:before="0" w:after="40"/>
        <w:ind w:left="454"/>
      </w:pPr>
      <w:r>
        <w:rPr>
          <w:b w:val="0"/>
        </w:rPr>
        <w:t>3.2 Bedingte Wahrscheinlichkeit und stochastische Unabhängigkeit</w:t>
        <w:tab/>
        <w:t>7</w:t>
      </w:r>
    </w:p>
    <w:p>
      <w:pPr>
        <w:tabs>
          <w:tab w:pos="9071" w:val="right" w:leader="dot"/>
        </w:tabs>
        <w:spacing w:before="0" w:after="40"/>
        <w:ind w:left="454"/>
      </w:pPr>
      <w:r>
        <w:rPr>
          <w:b w:val="0"/>
        </w:rPr>
        <w:t>3.3 Satz der totalen Wahrscheinlichkeit</w:t>
        <w:tab/>
        <w:t>7</w:t>
      </w:r>
    </w:p>
    <w:p>
      <w:pPr>
        <w:tabs>
          <w:tab w:pos="9071" w:val="right" w:leader="dot"/>
        </w:tabs>
        <w:spacing w:before="0" w:after="40"/>
        <w:ind w:left="454"/>
      </w:pPr>
      <w:r>
        <w:rPr>
          <w:b w:val="0"/>
        </w:rPr>
        <w:t>3.4 Simpson-Paradoxon</w:t>
        <w:tab/>
        <w:t>7</w:t>
      </w:r>
    </w:p>
    <w:p>
      <w:pPr>
        <w:tabs>
          <w:tab w:pos="9071" w:val="right" w:leader="dot"/>
        </w:tabs>
        <w:spacing w:before="160" w:after="40"/>
        <w:ind w:left="0"/>
      </w:pPr>
      <w:r>
        <w:rPr>
          <w:b/>
        </w:rPr>
        <w:t>4 Vorüberlegungen zur programmtechnischen Umsetzung</w:t>
        <w:tab/>
        <w:t>8</w:t>
      </w:r>
    </w:p>
    <w:p>
      <w:pPr>
        <w:tabs>
          <w:tab w:pos="9071" w:val="right" w:leader="dot"/>
        </w:tabs>
        <w:spacing w:before="160" w:after="40"/>
        <w:ind w:left="0"/>
      </w:pPr>
      <w:r>
        <w:rPr>
          <w:b/>
        </w:rPr>
        <w:t>5 Darstellung der Ungerechtigkeit (Aufgabe b)</w:t>
        <w:tab/>
        <w:t>9</w:t>
      </w:r>
    </w:p>
    <w:p>
      <w:pPr>
        <w:tabs>
          <w:tab w:pos="9071" w:val="right" w:leader="dot"/>
        </w:tabs>
        <w:spacing w:before="160" w:after="40"/>
        <w:ind w:left="0"/>
      </w:pPr>
      <w:r>
        <w:rPr>
          <w:b/>
        </w:rPr>
        <w:t>6 Vergleich der Verteilungen und Interpretation (Aufgabe c)</w:t>
        <w:tab/>
        <w:t>10</w:t>
      </w:r>
    </w:p>
    <w:p>
      <w:pPr>
        <w:tabs>
          <w:tab w:pos="9071" w:val="right" w:leader="dot"/>
        </w:tabs>
        <w:spacing w:before="0" w:after="40"/>
        <w:ind w:left="454"/>
      </w:pPr>
      <w:r>
        <w:rPr>
          <w:b w:val="0"/>
        </w:rPr>
        <w:t>6.1 Zulassungsquoten innerhalb der Fachbereiche</w:t>
        <w:tab/>
        <w:t>10</w:t>
      </w:r>
    </w:p>
    <w:p>
      <w:pPr>
        <w:tabs>
          <w:tab w:pos="9071" w:val="right" w:leader="dot"/>
        </w:tabs>
        <w:spacing w:before="0" w:after="40"/>
        <w:ind w:left="454"/>
      </w:pPr>
      <w:r>
        <w:rPr>
          <w:b w:val="0"/>
        </w:rPr>
        <w:t>6.2 Verteilung der Bewerbungen auf die Fachbereiche</w:t>
        <w:tab/>
        <w:t>10</w:t>
      </w:r>
    </w:p>
    <w:p>
      <w:pPr>
        <w:tabs>
          <w:tab w:pos="9071" w:val="right" w:leader="dot"/>
        </w:tabs>
        <w:spacing w:before="0" w:after="40"/>
        <w:ind w:left="454"/>
      </w:pPr>
      <w:r>
        <w:rPr>
          <w:b w:val="0"/>
        </w:rPr>
        <w:t>6.3 Erklärung mit dem Satz der totalen Wahrscheinlichkeit</w:t>
        <w:tab/>
        <w:t>12</w:t>
      </w:r>
    </w:p>
    <w:p>
      <w:pPr>
        <w:tabs>
          <w:tab w:pos="9071" w:val="right" w:leader="dot"/>
        </w:tabs>
        <w:spacing w:before="0" w:after="40"/>
        <w:ind w:left="454"/>
      </w:pPr>
      <w:r>
        <w:rPr>
          <w:b w:val="0"/>
        </w:rPr>
        <w:t>6.4 Prüfung der stochastischen Unabhängigkeit</w:t>
        <w:tab/>
        <w:t>12</w:t>
      </w:r>
    </w:p>
    <w:p>
      <w:pPr>
        <w:tabs>
          <w:tab w:pos="9071" w:val="right" w:leader="dot"/>
        </w:tabs>
        <w:spacing w:before="160" w:after="40"/>
        <w:ind w:left="0"/>
      </w:pPr>
      <w:r>
        <w:rPr>
          <w:b/>
        </w:rPr>
        <w:t>7 Fazit, Grenzen und Ausblick</w:t>
        <w:tab/>
        <w:t>13</w:t>
      </w:r>
    </w:p>
    <w:p>
      <w:pPr>
        <w:tabs>
          <w:tab w:pos="9071" w:val="right" w:leader="dot"/>
        </w:tabs>
        <w:spacing w:before="160" w:after="40"/>
        <w:ind w:left="0"/>
      </w:pPr>
      <w:r>
        <w:rPr>
          <w:b/>
        </w:rPr>
        <w:t>Literaturverzeichnis</w:t>
        <w:tab/>
        <w:t>15</w:t>
      </w:r>
    </w:p>
    <w:p>
      <w:pPr>
        <w:tabs>
          <w:tab w:pos="9071" w:val="right" w:leader="dot"/>
        </w:tabs>
        <w:spacing w:before="0" w:after="40"/>
        <w:ind w:left="454"/>
      </w:pPr>
      <w:r>
        <w:rPr>
          <w:b w:val="0"/>
        </w:rPr>
        <w:t>Anhang</w:t>
        <w:tab/>
        <w:t>15</w:t>
      </w:r>
      <w:r>
        <w:fldChar w:fldCharType="end"/>
      </w:r>
    </w:p>
    <w:p>
      <w:pPr>
        <w:pStyle w:val="Heading1"/>
        <w:pageBreakBefore/>
      </w:pPr>
      <w:r>
        <w:t>1  Ausgangslage und Aufgabenstellung</w:t>
      </w:r>
    </w:p>
    <w:p>
      <w:pPr>
        <w:keepNext w:val="0"/>
      </w:pPr>
      <w:r>
        <w:rPr>
          <w:i w:val="0"/>
        </w:rPr>
        <w:t>Im Herbst 1973 gingen an den sechs grössten Fachbereichen (A bis F) der University of California, Berkeley, 4 526 Bewerbungen für ein Graduate-Studium ein. Über alle sechs Fachbereiche zusammen wurden 44.5 % der Männer, aber nur 30.4 % der Frauen zugelassen (R Core Team, o. J.). Bickel et al. (1975) untersuchten die Berkeley-Zahlen auf eine Benachteiligung von Frauen und zeigten, dass der Unterschied auf Ebene der Fachbereiche verschwindet. Tabelle 4 der Aufgabenstellung (ZHAW School of Management and Law [ZHAW SML], 2026) fasst die Daten zusammen: je Fachbereich die Zulassungsquote getrennt nach Geschlecht und den Anteil der Bewerbungen, der auf den Fachbereich entfällt.</w:t>
      </w:r>
    </w:p>
    <w:p>
      <w:pPr>
        <w:keepNext/>
      </w:pPr>
      <w:r>
        <w:rPr>
          <w:i w:val="0"/>
        </w:rPr>
        <w:t>Die Aufgabe umfasst drei Teile (ZHAW SML, 2026):</w:t>
      </w:r>
    </w:p>
    <w:p>
      <w:pPr>
        <w:pStyle w:val="ListBullet"/>
      </w:pPr>
      <w:r>
        <w:rPr>
          <w:b/>
        </w:rPr>
        <w:t xml:space="preserve">(a) </w:t>
      </w:r>
      <w:r>
        <w:rPr>
          <w:i w:val="0"/>
        </w:rPr>
        <w:t>Das Thema Funktionen in Python erläutern, basierend auf McKinney (2018), Abschnitt 3.2.</w:t>
      </w:r>
    </w:p>
    <w:p>
      <w:pPr>
        <w:pStyle w:val="ListBullet"/>
      </w:pPr>
      <w:r>
        <w:rPr>
          <w:b/>
        </w:rPr>
        <w:t xml:space="preserve">(b) </w:t>
      </w:r>
      <w:r>
        <w:rPr>
          <w:i w:val="0"/>
        </w:rPr>
        <w:t>Die Verhältnisse so darstellen, dass ein Betrachter schnell auf eine Ungerechtigkeit im Zulassungsverfahren schliessen kann (Umsetzung in Python).</w:t>
      </w:r>
    </w:p>
    <w:p>
      <w:pPr>
        <w:pStyle w:val="ListBullet"/>
      </w:pPr>
      <w:r>
        <w:rPr>
          <w:b/>
        </w:rPr>
        <w:t xml:space="preserve">(c) </w:t>
      </w:r>
      <w:r>
        <w:rPr>
          <w:i w:val="0"/>
        </w:rPr>
        <w:t>Die Verteilungen von Männern und Frauen bezüglich Zulassung vergleichen, den Vergleich interpretieren und dabei auf die stochastische Unabhängigkeit eingehen.</w:t>
      </w:r>
    </w:p>
    <w:p>
      <w:pPr>
        <w:keepNext w:val="0"/>
      </w:pPr>
      <w:r>
        <w:rPr>
          <w:i w:val="0"/>
        </w:rPr>
        <w:t>Kapitel 2 behandelt Aufgabe (a), Kapitel 3 die statistischen Grundlagen und Kapitel 4 die Vorüberlegungen zur Umsetzung. Kapitel 5 und 6 enthalten die Lösungen zu (b) und (c), Kapitel 7 zieht ein Fazit. Der vollständige, kommentierte Python-Code steht im beiliegenden Jupyter-Notebook Vortrag4_Berkeley_Analyse.ipynb; im Text werden die zentralen Ausschnitte gezeigt.</w:t>
      </w:r>
    </w:p>
    <w:p>
      <w:pPr>
        <w:pStyle w:val="Heading1"/>
      </w:pPr>
      <w:r>
        <w:t>2  Funktionen in Python (Aufgabe a)</w:t>
      </w:r>
    </w:p>
    <w:p>
      <w:pPr>
        <w:keepNext w:val="0"/>
      </w:pPr>
      <w:r>
        <w:rPr>
          <w:i w:val="0"/>
        </w:rPr>
        <w:t>Funktionen sind die wichtigste Methode, um Code in Python zu organisieren und wiederzuverwenden (McKinney, 2018, S. 71). Als Faustregel gilt: Wird derselbe oder ähnlicher Code mehr als einmal benötigt, lohnt sich eine Funktion. Zudem macht eine Funktion Code lesbarer, weil sie einer Gruppe von Anweisungen einen Namen gibt (McKinney, 2018, S. 71). Die folgenden Abschnitte erklären die Konzepte aus Abschnitt 3.2 und zeigen jeweils, wo sie in unserer Analyse vorkommen.</w:t>
      </w:r>
    </w:p>
    <w:p>
      <w:pPr>
        <w:pStyle w:val="Heading2"/>
      </w:pPr>
      <w:r>
        <w:t>2.1  Deklaration, Rückgabe und Argumente</w:t>
      </w:r>
    </w:p>
    <w:p>
      <w:pPr>
        <w:keepNext/>
      </w:pPr>
      <w:r>
        <w:rPr>
          <w:i w:val="0"/>
        </w:rPr>
        <w:t>Eine Funktion wird mit dem Schlüsselwort def deklariert und mit return verlassen; mehrere return-Anweisungen sind erlaubt (McKinney, 2018, S. 71–72). Erreicht Python das Ende einer Funktion ohne return, wird automatisch None zurückgegeben. Positionsargumente werden über ihre Reihenfolge zugeordnet, Keyword-Argumente über ihren Namen; Letztere dienen meist für Standardwerte oder optionale Angaben. Keyword-Argumente müssen nach den Positionsargumenten stehen, dürfen untereinander aber in beliebiger Reihenfolge angegeben werden (McKinney, 2018, S. 72).</w:t>
      </w:r>
    </w:p>
    <w:p>
      <w:pPr>
        <w:keepLines/>
        <w:spacing w:after="160"/>
        <w:ind w:left="283"/>
        <w:shd w:val="clear" w:fill="F2F2F2"/>
      </w:pPr>
      <w:r>
        <w:rPr>
          <w:rFonts w:ascii="Consolas" w:hAnsi="Consolas" w:eastAsia="Consolas"/>
          <w:sz w:val="18"/>
        </w:rPr>
        <w:t>def my_function(x, y, z=1.5):      # x, y: Positionsargumente; z: Keyword-Argument</w:t>
        <w:br/>
      </w:r>
      <w:r>
        <w:rPr>
          <w:rFonts w:ascii="Consolas" w:hAnsi="Consolas" w:eastAsia="Consolas"/>
          <w:sz w:val="18"/>
        </w:rPr>
        <w:t xml:space="preserve">    if z &gt; 1:</w:t>
        <w:br/>
      </w:r>
      <w:r>
        <w:rPr>
          <w:rFonts w:ascii="Consolas" w:hAnsi="Consolas" w:eastAsia="Consolas"/>
          <w:sz w:val="18"/>
        </w:rPr>
        <w:t xml:space="preserve">        return z * (x + y)</w:t>
        <w:br/>
      </w:r>
      <w:r>
        <w:rPr>
          <w:rFonts w:ascii="Consolas" w:hAnsi="Consolas" w:eastAsia="Consolas"/>
          <w:sz w:val="18"/>
        </w:rPr>
        <w:t xml:space="preserve">    else:</w:t>
        <w:br/>
      </w:r>
      <w:r>
        <w:rPr>
          <w:rFonts w:ascii="Consolas" w:hAnsi="Consolas" w:eastAsia="Consolas"/>
          <w:sz w:val="18"/>
        </w:rPr>
        <w:t xml:space="preserve">        return z / (x + y)</w:t>
        <w:br/>
      </w:r>
      <w:r>
        <w:rPr>
          <w:rFonts w:ascii="Consolas" w:hAnsi="Consolas" w:eastAsia="Consolas"/>
          <w:sz w:val="18"/>
        </w:rPr>
        <w:br/>
      </w:r>
      <w:r>
        <w:rPr>
          <w:rFonts w:ascii="Consolas" w:hAnsi="Consolas" w:eastAsia="Consolas"/>
          <w:sz w:val="18"/>
        </w:rPr>
        <w:t>my_function(5, 6, z=0.7)   # z explizit gesetzt</w:t>
        <w:br/>
      </w:r>
      <w:r>
        <w:rPr>
          <w:rFonts w:ascii="Consolas" w:hAnsi="Consolas" w:eastAsia="Consolas"/>
          <w:sz w:val="18"/>
        </w:rPr>
        <w:t>my_function(10, 20)        # z verwendet den Standardwert 1.5</w:t>
      </w:r>
    </w:p>
    <w:p>
      <w:pPr>
        <w:keepNext w:val="0"/>
      </w:pPr>
      <w:r>
        <w:rPr>
          <w:i w:val="0"/>
        </w:rPr>
        <w:t>In unserer Analyse nutzt kreuztabelle(daten, fachbereich=None) genau dieses Muster: Ohne Angabe entsteht die Kreuztabelle über alle Bewerbungen, mit fachbereich="A" nur für Fachbereich A.</w:t>
      </w:r>
    </w:p>
    <w:p>
      <w:pPr>
        <w:pStyle w:val="Heading2"/>
      </w:pPr>
      <w:r>
        <w:t>2.2  Namensraum und Gültigkeitsbereich</w:t>
      </w:r>
    </w:p>
    <w:p>
      <w:pPr>
        <w:keepNext w:val="0"/>
      </w:pPr>
      <w:r>
        <w:rPr>
          <w:i w:val="0"/>
        </w:rPr>
        <w:t>Variablen, die innerhalb einer Funktion zugewiesen werden, gehören zum lokalen Namensraum. Er entsteht beim Aufruf, wird sofort mit den Argumenten gefüllt und nach dem Ende der Funktion wieder gelöscht (McKinney, 2018, S. 72). Soll eine Funktion eine Variable ausserhalb ihres Gültigkeitsbereichs neu zuweisen, muss diese mit global deklariert werden. McKinney (2018, S. 73) rät davon ab, weil globale Variablen einen schwer überschaubaren Zustand erzeugen. Wir halten uns daran: Alle Funktionen erhalten ihre Daten als Argument und geben Ergebnisse mit return zurück. Nur Konstanten wie die Farbzuordnung FARBEN werden global gelesen, aber nie verändert.</w:t>
      </w:r>
    </w:p>
    <w:p>
      <w:pPr>
        <w:pStyle w:val="Heading2"/>
      </w:pPr>
      <w:r>
        <w:t>2.3  Mehrere Rückgabewerte</w:t>
      </w:r>
    </w:p>
    <w:p>
      <w:pPr>
        <w:keepNext/>
      </w:pPr>
      <w:r>
        <w:rPr>
          <w:i w:val="0"/>
        </w:rPr>
        <w:t>Python kann scheinbar mehrere Werte zurückgeben. Tatsächlich liefert die Funktion ein einziges Tupel, das beim Aufruf in mehrere Variablen entpackt wird (McKinney, 2018, S. 73). Alternativ kann ein Dictionary zurückgegeben werden, dessen Werte über ihren Namen ansprechbar sind (McKinney, 2018, S. 74). Wir nutzen beide Varianten:</w:t>
      </w:r>
    </w:p>
    <w:p>
      <w:pPr>
        <w:keepLines/>
        <w:spacing w:after="160"/>
        <w:ind w:left="283"/>
        <w:shd w:val="clear" w:fill="F2F2F2"/>
      </w:pPr>
      <w:r>
        <w:rPr>
          <w:rFonts w:ascii="Consolas" w:hAnsi="Consolas" w:eastAsia="Consolas"/>
          <w:sz w:val="18"/>
        </w:rPr>
        <w:t>def kennzahlen(zugelassen, abgelehnt, total_bewerbungen):</w:t>
        <w:br/>
      </w:r>
      <w:r>
        <w:rPr>
          <w:rFonts w:ascii="Consolas" w:hAnsi="Consolas" w:eastAsia="Consolas"/>
          <w:sz w:val="18"/>
        </w:rPr>
        <w:t xml:space="preserve">    bewerbungen = zugelassen + abgelehnt</w:t>
        <w:br/>
      </w:r>
      <w:r>
        <w:rPr>
          <w:rFonts w:ascii="Consolas" w:hAnsi="Consolas" w:eastAsia="Consolas"/>
          <w:sz w:val="18"/>
        </w:rPr>
        <w:t xml:space="preserve">    return zugelassen / bewerbungen, bewerbungen / total_bewerbungen   # Tupel</w:t>
        <w:br/>
      </w:r>
      <w:r>
        <w:rPr>
          <w:rFonts w:ascii="Consolas" w:hAnsi="Consolas" w:eastAsia="Consolas"/>
          <w:sz w:val="18"/>
        </w:rPr>
        <w:br/>
      </w:r>
      <w:r>
        <w:rPr>
          <w:rFonts w:ascii="Consolas" w:hAnsi="Consolas" w:eastAsia="Consolas"/>
          <w:sz w:val="18"/>
        </w:rPr>
        <w:t>quote, anteil = kennzahlen(89, 19, 1835)     # Entpacken -&gt; 0.824, 0.059</w:t>
        <w:br/>
      </w:r>
      <w:r>
        <w:rPr>
          <w:rFonts w:ascii="Consolas" w:hAnsi="Consolas" w:eastAsia="Consolas"/>
          <w:sz w:val="18"/>
        </w:rPr>
        <w:br/>
      </w:r>
      <w:r>
        <w:rPr>
          <w:rFonts w:ascii="Consolas" w:hAnsi="Consolas" w:eastAsia="Consolas"/>
          <w:sz w:val="18"/>
        </w:rPr>
        <w:t>def pruefe_unabhaengigkeit(tafel):</w:t>
        <w:br/>
      </w:r>
      <w:r>
        <w:rPr>
          <w:rFonts w:ascii="Consolas" w:hAnsi="Consolas" w:eastAsia="Consolas"/>
          <w:sz w:val="18"/>
        </w:rPr>
        <w:t xml:space="preserve">    ...</w:t>
        <w:br/>
      </w:r>
      <w:r>
        <w:rPr>
          <w:rFonts w:ascii="Consolas" w:hAnsi="Consolas" w:eastAsia="Consolas"/>
          <w:sz w:val="18"/>
        </w:rPr>
        <w:t xml:space="preserve">    return {"P(Z)": p_z, "P(W)": p_w, "P(Z∩W)": p_z_und_w, "P(Z)·P(W)": p_z * p_w, ...}</w:t>
      </w:r>
    </w:p>
    <w:p>
      <w:pPr>
        <w:keepNext w:val="0"/>
      </w:pPr>
      <w:r>
        <w:rPr>
          <w:i w:val="0"/>
        </w:rPr>
        <w:t>Das Dictionary passt hier besonders, weil pruefe_unabhaengigkeit neun Kennzahlen liefert. Über Namen wie ergebnis["P(Z∩W)"] bleibt der Code verständlich, und mehrere solche Dictionaries lassen sich direkt in ein pandas-DataFrame umwandeln.</w:t>
      </w:r>
    </w:p>
    <w:p>
      <w:pPr>
        <w:pStyle w:val="Heading2"/>
      </w:pPr>
      <w:r>
        <w:t>2.4  Funktionen sind Objekte</w:t>
      </w:r>
    </w:p>
    <w:p>
      <w:pPr>
        <w:keepNext/>
      </w:pPr>
      <w:r>
        <w:rPr>
          <w:i w:val="0"/>
        </w:rPr>
        <w:t>Da Funktionen in Python Objekte sind, lassen sie sich in Listen speichern und anderen Funktionen als Argument übergeben (McKinney, 2018, S. 74–75). McKinney zeigt dies am Bereinigen unordentlicher Strings: Eine Liste von Operationen wird nacheinander auf jeden Wert angewendet. Genau dieses Muster verwenden wir, um die Prozentangaben aus Tabelle 4 (z. B. "82.4%") in Zahlen umzuwandeln:</w:t>
      </w:r>
    </w:p>
    <w:p>
      <w:pPr>
        <w:keepLines/>
        <w:spacing w:after="160"/>
        <w:ind w:left="283"/>
        <w:shd w:val="clear" w:fill="F2F2F2"/>
      </w:pPr>
      <w:r>
        <w:rPr>
          <w:rFonts w:ascii="Consolas" w:hAnsi="Consolas" w:eastAsia="Consolas"/>
          <w:sz w:val="18"/>
        </w:rPr>
        <w:t>def entferne_prozentzeichen(wert):</w:t>
        <w:br/>
      </w:r>
      <w:r>
        <w:rPr>
          <w:rFonts w:ascii="Consolas" w:hAnsi="Consolas" w:eastAsia="Consolas"/>
          <w:sz w:val="18"/>
        </w:rPr>
        <w:t xml:space="preserve">    return re.sub(r"[%\s]", "", wert)          # "82.4%" -&gt; "82.4"</w:t>
        <w:br/>
      </w:r>
      <w:r>
        <w:rPr>
          <w:rFonts w:ascii="Consolas" w:hAnsi="Consolas" w:eastAsia="Consolas"/>
          <w:sz w:val="18"/>
        </w:rPr>
        <w:br/>
      </w:r>
      <w:r>
        <w:rPr>
          <w:rFonts w:ascii="Consolas" w:hAnsi="Consolas" w:eastAsia="Consolas"/>
          <w:sz w:val="18"/>
        </w:rPr>
        <w:t>bereinigungs_schritte = [str.strip, entferne_prozentzeichen, in_anteil]</w:t>
        <w:br/>
      </w:r>
      <w:r>
        <w:rPr>
          <w:rFonts w:ascii="Consolas" w:hAnsi="Consolas" w:eastAsia="Consolas"/>
          <w:sz w:val="18"/>
        </w:rPr>
        <w:br/>
      </w:r>
      <w:r>
        <w:rPr>
          <w:rFonts w:ascii="Consolas" w:hAnsi="Consolas" w:eastAsia="Consolas"/>
          <w:sz w:val="18"/>
        </w:rPr>
        <w:t>def bereinige(werte, schritte):</w:t>
        <w:br/>
      </w:r>
      <w:r>
        <w:rPr>
          <w:rFonts w:ascii="Consolas" w:hAnsi="Consolas" w:eastAsia="Consolas"/>
          <w:sz w:val="18"/>
        </w:rPr>
        <w:t xml:space="preserve">    ergebnis = []</w:t>
        <w:br/>
      </w:r>
      <w:r>
        <w:rPr>
          <w:rFonts w:ascii="Consolas" w:hAnsi="Consolas" w:eastAsia="Consolas"/>
          <w:sz w:val="18"/>
        </w:rPr>
        <w:t xml:space="preserve">    for wert in werte:</w:t>
        <w:br/>
      </w:r>
      <w:r>
        <w:rPr>
          <w:rFonts w:ascii="Consolas" w:hAnsi="Consolas" w:eastAsia="Consolas"/>
          <w:sz w:val="18"/>
        </w:rPr>
        <w:t xml:space="preserve">        for funktion in schritte:              # jede Funktion der Liste anwenden</w:t>
        <w:br/>
      </w:r>
      <w:r>
        <w:rPr>
          <w:rFonts w:ascii="Consolas" w:hAnsi="Consolas" w:eastAsia="Consolas"/>
          <w:sz w:val="18"/>
        </w:rPr>
        <w:t xml:space="preserve">            wert = funktion(wert)</w:t>
        <w:br/>
      </w:r>
      <w:r>
        <w:rPr>
          <w:rFonts w:ascii="Consolas" w:hAnsi="Consolas" w:eastAsia="Consolas"/>
          <w:sz w:val="18"/>
        </w:rPr>
        <w:t xml:space="preserve">        ergebnis.append(wert)</w:t>
        <w:br/>
      </w:r>
      <w:r>
        <w:rPr>
          <w:rFonts w:ascii="Consolas" w:hAnsi="Consolas" w:eastAsia="Consolas"/>
          <w:sz w:val="18"/>
        </w:rPr>
        <w:t xml:space="preserve">    return ergebnis</w:t>
      </w:r>
    </w:p>
    <w:p>
      <w:pPr>
        <w:keepNext w:val="0"/>
      </w:pPr>
      <w:r>
        <w:rPr>
          <w:i w:val="0"/>
        </w:rPr>
        <w:t>Kommt ein weiterer Bereinigungsschritt hinzu, wird er nur in die Liste eingefügt; bereinige bleibt unverändert. Auch die Diagrammfunktion saeulen_beschriften(ax, saeulen, format_funktion=prozent) erhält die Formatierung als Funktion, vergleichbar mit der eingebauten Funktion map (McKinney, 2018, S. 75).</w:t>
      </w:r>
    </w:p>
    <w:p>
      <w:pPr>
        <w:pStyle w:val="Heading2"/>
      </w:pPr>
      <w:r>
        <w:t>2.5  Lambda-Funktionen und Currying</w:t>
      </w:r>
    </w:p>
    <w:p>
      <w:pPr>
        <w:keepNext/>
      </w:pPr>
      <w:r>
        <w:rPr>
          <w:i w:val="0"/>
        </w:rPr>
        <w:t>Lambda-Funktionen (anonyme Funktionen) bestehen aus einer einzigen Anweisung, deren Ergebnis der Rückgabewert ist. Sie sind praktisch, wenn eine Funktion eine andere Funktion als Argument erwartet (McKinney, 2018, S. 75–76). Currying bezeichnet das Ableiten einer neuen Funktion durch teilweises Festlegen von Argumenten; in Python geht das mit functools.partial (McKinney, 2018, S. 76–77).</w:t>
      </w:r>
    </w:p>
    <w:p>
      <w:pPr>
        <w:keepLines/>
        <w:spacing w:after="160"/>
        <w:ind w:left="283"/>
        <w:shd w:val="clear" w:fill="F2F2F2"/>
      </w:pPr>
      <w:r>
        <w:rPr>
          <w:rFonts w:ascii="Consolas" w:hAnsi="Consolas" w:eastAsia="Consolas"/>
          <w:sz w:val="18"/>
        </w:rPr>
        <w:t>prozent = lambda x: f"{x:.1%}"                            # 0.3035 -&gt; "30.4%"</w:t>
        <w:br/>
      </w:r>
      <w:r>
        <w:rPr>
          <w:rFonts w:ascii="Consolas" w:hAnsi="Consolas" w:eastAsia="Consolas"/>
          <w:sz w:val="18"/>
        </w:rPr>
        <w:t>ax.yaxis.set_major_formatter(lambda y, _: f"{y:.0%}")     # Achsenbeschriftung in Prozent</w:t>
        <w:br/>
      </w:r>
      <w:r>
        <w:rPr>
          <w:rFonts w:ascii="Consolas" w:hAnsi="Consolas" w:eastAsia="Consolas"/>
          <w:sz w:val="18"/>
        </w:rPr>
        <w:br/>
      </w:r>
      <w:r>
        <w:rPr>
          <w:rFonts w:ascii="Consolas" w:hAnsi="Consolas" w:eastAsia="Consolas"/>
          <w:sz w:val="18"/>
        </w:rPr>
        <w:t>quote_frauen = partial(bedingte_quote, geschlecht="Frauen")   # P(Z | W)</w:t>
        <w:br/>
      </w:r>
      <w:r>
        <w:rPr>
          <w:rFonts w:ascii="Consolas" w:hAnsi="Consolas" w:eastAsia="Consolas"/>
          <w:sz w:val="18"/>
        </w:rPr>
        <w:t>quote_maenner = partial(bedingte_quote, geschlecht="Männer")  # P(Z | M)</w:t>
      </w:r>
    </w:p>
    <w:p>
      <w:pPr>
        <w:pStyle w:val="Heading2"/>
      </w:pPr>
      <w:r>
        <w:t>2.6  Generatoren</w:t>
      </w:r>
    </w:p>
    <w:p>
      <w:pPr>
        <w:keepNext/>
      </w:pPr>
      <w:r>
        <w:rPr>
          <w:i w:val="0"/>
        </w:rPr>
        <w:t>Ein Generator liefert eine Folge von Werten durch Lazy Evaluation: Statt return wird yield verwendet, und die Funktion pausiert nach jedem Wert, bis der nächste angefordert wird. Beim Aufruf wird zunächst kein Code ausgeführt (McKinney, 2018, S. 77–78). Unser Generator liefert die Unabhängigkeitsprüfung Fachbereich für Fachbereich; erst pd.DataFrame(dict(...)) fordert alle Werte an:</w:t>
      </w:r>
    </w:p>
    <w:p>
      <w:pPr>
        <w:keepLines/>
        <w:spacing w:after="160"/>
        <w:ind w:left="283"/>
        <w:shd w:val="clear" w:fill="F2F2F2"/>
      </w:pPr>
      <w:r>
        <w:rPr>
          <w:rFonts w:ascii="Consolas" w:hAnsi="Consolas" w:eastAsia="Consolas"/>
          <w:sz w:val="18"/>
        </w:rPr>
        <w:t>def ergebnisse_je_fachbereich(daten, fachbereiche):</w:t>
        <w:br/>
      </w:r>
      <w:r>
        <w:rPr>
          <w:rFonts w:ascii="Consolas" w:hAnsi="Consolas" w:eastAsia="Consolas"/>
          <w:sz w:val="18"/>
        </w:rPr>
        <w:t xml:space="preserve">    for fb in fachbereiche:</w:t>
        <w:br/>
      </w:r>
      <w:r>
        <w:rPr>
          <w:rFonts w:ascii="Consolas" w:hAnsi="Consolas" w:eastAsia="Consolas"/>
          <w:sz w:val="18"/>
        </w:rPr>
        <w:t xml:space="preserve">        yield fb, pruefe_unabhaengigkeit(kreuztabelle(daten, fachbereich=fb))</w:t>
        <w:br/>
      </w:r>
      <w:r>
        <w:rPr>
          <w:rFonts w:ascii="Consolas" w:hAnsi="Consolas" w:eastAsia="Consolas"/>
          <w:sz w:val="18"/>
        </w:rPr>
        <w:br/>
      </w:r>
      <w:r>
        <w:rPr>
          <w:rFonts w:ascii="Consolas" w:hAnsi="Consolas" w:eastAsia="Consolas"/>
          <w:sz w:val="18"/>
        </w:rPr>
        <w:t>je_fb = pd.DataFrame(dict(ergebnisse_je_fachbereich(daten, tab4.index))).T</w:t>
      </w:r>
    </w:p>
    <w:p>
      <w:pPr>
        <w:pStyle w:val="Heading2"/>
      </w:pPr>
      <w:r>
        <w:t>2.7  Fehler und Ausnahmebehandlung</w:t>
      </w:r>
    </w:p>
    <w:p>
      <w:pPr>
        <w:keepNext w:val="0"/>
      </w:pPr>
      <w:r>
        <w:rPr>
          <w:i w:val="0"/>
        </w:rPr>
        <w:t>Mit try/except lassen sich Fehler kontrolliert behandeln. Dabei sollte man nur die erwarteten Ausnahmetypen abfangen, etwa ValueError, weil andere Fehler wie TypeError auf echte Programmfehler hinweisen können (McKinney, 2018, S. 79–80). Ergänzend gibt es else, das nur bei Erfolg ausgeführt wird, und finally, das immer ausgeführt wird (McKinney, 2018, S. 81). Unsere Funktion in_anteil fängt nur den ValueError ab, der bei einem Tippfehler in der Tabelle entsteht, und meldet ihn verständlich, statt stillschweigend mit einem falschen Wert weiterzurechnen.</w:t>
      </w:r>
    </w:p>
    <w:p>
      <w:pPr>
        <w:pStyle w:val="Heading1"/>
      </w:pPr>
      <w:r>
        <w:t>3  Statistische Grundlagen</w:t>
      </w:r>
    </w:p>
    <w:p>
      <w:pPr>
        <w:pStyle w:val="Heading2"/>
      </w:pPr>
      <w:r>
        <w:t>3.1  Kreuztabellen und Wahrscheinlichkeitstabellen</w:t>
      </w:r>
    </w:p>
    <w:p>
      <w:pPr>
        <w:keepNext w:val="0"/>
      </w:pPr>
      <w:r>
        <w:rPr>
          <w:i w:val="0"/>
        </w:rPr>
        <w:t xml:space="preserve">Beziehungen zwischen zwei kategorialen Variablen werden in Kreuztabellen (Kontingenztafeln) dargestellt und grafisch mit gruppierten Säulendiagrammen (Schnauss, o. J.-a, Folien 39, 42). Teilt man die Häufigkeiten durch die Gesamtzahl, entsteht eine Wahrscheinlichkeitstabelle mit gemeinsamen Wahrscheinlichkeiten wie </w:t>
      </w:r>
      <w:r>
        <w:rPr>
          <w:i/>
        </w:rPr>
        <w:t>P</w:t>
      </w:r>
      <w:r>
        <w:rPr>
          <w:i w:val="0"/>
        </w:rPr>
        <w:t>(</w:t>
      </w:r>
      <w:r>
        <w:rPr>
          <w:i/>
        </w:rPr>
        <w:t>A</w:t>
      </w:r>
      <w:r>
        <w:rPr>
          <w:i w:val="0"/>
        </w:rPr>
        <w:t xml:space="preserve"> ∩ </w:t>
      </w:r>
      <w:r>
        <w:rPr>
          <w:i/>
        </w:rPr>
        <w:t>B</w:t>
      </w:r>
      <w:r>
        <w:rPr>
          <w:i w:val="0"/>
        </w:rPr>
        <w:t xml:space="preserve">) im Innern und Randwahrscheinlichkeiten wie </w:t>
      </w:r>
      <w:r>
        <w:rPr>
          <w:i/>
        </w:rPr>
        <w:t>P</w:t>
      </w:r>
      <w:r>
        <w:rPr>
          <w:i w:val="0"/>
        </w:rPr>
        <w:t>(</w:t>
      </w:r>
      <w:r>
        <w:rPr>
          <w:i/>
        </w:rPr>
        <w:t>A</w:t>
      </w:r>
      <w:r>
        <w:rPr>
          <w:i w:val="0"/>
        </w:rPr>
        <w:t xml:space="preserve">) am Rand (Schnauss, o. J.-b, Folie 24). Für die Berkeley-Daten ist </w:t>
      </w:r>
      <w:r>
        <w:rPr>
          <w:i/>
        </w:rPr>
        <w:t>Z</w:t>
      </w:r>
      <w:r>
        <w:rPr>
          <w:i w:val="0"/>
        </w:rPr>
        <w:t xml:space="preserve"> das Ereignis «Bewerbung wird zugelassen» und </w:t>
      </w:r>
      <w:r>
        <w:rPr>
          <w:i/>
        </w:rPr>
        <w:t>W</w:t>
      </w:r>
      <w:r>
        <w:rPr>
          <w:i w:val="0"/>
        </w:rPr>
        <w:t xml:space="preserve"> das Ereignis «Bewerbung stammt von einer Frau» (</w:t>
      </w:r>
      <w:r>
        <w:rPr>
          <w:i/>
        </w:rPr>
        <w:t>M</w:t>
      </w:r>
      <w:r>
        <w:rPr>
          <w:i w:val="0"/>
        </w:rPr>
        <w:t xml:space="preserve"> für Männer).</w:t>
      </w:r>
    </w:p>
    <w:p>
      <w:pPr>
        <w:pStyle w:val="Heading2"/>
      </w:pPr>
      <w:r>
        <w:t>3.2  Bedingte Wahrscheinlichkeit und stochastische Unabhängigkeit</w:t>
      </w:r>
    </w:p>
    <w:p>
      <w:pPr>
        <w:keepNext/>
      </w:pPr>
      <w:r>
        <w:rPr>
          <w:i w:val="0"/>
        </w:rPr>
        <w:t xml:space="preserve">Die bedingte Wahrscheinlichkeit </w:t>
      </w:r>
      <w:r>
        <w:rPr>
          <w:i/>
        </w:rPr>
        <w:t>P</w:t>
      </w:r>
      <w:r>
        <w:rPr>
          <w:i w:val="0"/>
        </w:rPr>
        <w:t>(</w:t>
      </w:r>
      <w:r>
        <w:rPr>
          <w:i/>
        </w:rPr>
        <w:t>A</w:t>
      </w:r>
      <w:r>
        <w:rPr>
          <w:i w:val="0"/>
        </w:rPr>
        <w:t xml:space="preserve"> | </w:t>
      </w:r>
      <w:r>
        <w:rPr>
          <w:i/>
        </w:rPr>
        <w:t>B</w:t>
      </w:r>
      <w:r>
        <w:rPr>
          <w:i w:val="0"/>
        </w:rPr>
        <w:t xml:space="preserve">) = </w:t>
      </w:r>
      <w:r>
        <w:rPr>
          <w:i/>
        </w:rPr>
        <w:t>P</w:t>
      </w:r>
      <w:r>
        <w:rPr>
          <w:i w:val="0"/>
        </w:rPr>
        <w:t>(</w:t>
      </w:r>
      <w:r>
        <w:rPr>
          <w:i/>
        </w:rPr>
        <w:t>A</w:t>
      </w:r>
      <w:r>
        <w:rPr>
          <w:i w:val="0"/>
        </w:rPr>
        <w:t xml:space="preserve"> ∩ </w:t>
      </w:r>
      <w:r>
        <w:rPr>
          <w:i/>
        </w:rPr>
        <w:t>B</w:t>
      </w:r>
      <w:r>
        <w:rPr>
          <w:i w:val="0"/>
        </w:rPr>
        <w:t xml:space="preserve">) / </w:t>
      </w:r>
      <w:r>
        <w:rPr>
          <w:i/>
        </w:rPr>
        <w:t>P</w:t>
      </w:r>
      <w:r>
        <w:rPr>
          <w:i w:val="0"/>
        </w:rPr>
        <w:t>(</w:t>
      </w:r>
      <w:r>
        <w:rPr>
          <w:i/>
        </w:rPr>
        <w:t>B</w:t>
      </w:r>
      <w:r>
        <w:rPr>
          <w:i w:val="0"/>
        </w:rPr>
        <w:t xml:space="preserve">) ist die Wahrscheinlichkeit von </w:t>
      </w:r>
      <w:r>
        <w:rPr>
          <w:i/>
        </w:rPr>
        <w:t>A</w:t>
      </w:r>
      <w:r>
        <w:rPr>
          <w:i w:val="0"/>
        </w:rPr>
        <w:t xml:space="preserve">, falls </w:t>
      </w:r>
      <w:r>
        <w:rPr>
          <w:i/>
        </w:rPr>
        <w:t>B</w:t>
      </w:r>
      <w:r>
        <w:rPr>
          <w:i w:val="0"/>
        </w:rPr>
        <w:t xml:space="preserve"> eingetreten ist, mit </w:t>
      </w:r>
      <w:r>
        <w:rPr>
          <w:i/>
        </w:rPr>
        <w:t>P</w:t>
      </w:r>
      <w:r>
        <w:rPr>
          <w:i w:val="0"/>
        </w:rPr>
        <w:t>(</w:t>
      </w:r>
      <w:r>
        <w:rPr>
          <w:i/>
        </w:rPr>
        <w:t>B</w:t>
      </w:r>
      <w:r>
        <w:rPr>
          <w:i w:val="0"/>
        </w:rPr>
        <w:t xml:space="preserve">) &gt; 0 (Schnauss, o. J.-b, Folie 27; vgl. Newbold et al., 2013, Kap. 3). Die Zulassungsquoten in Tabelle 4 sind solche bedingten Wahrscheinlichkeiten, z. B. </w:t>
      </w:r>
      <w:r>
        <w:rPr>
          <w:i/>
        </w:rPr>
        <w:t>P</w:t>
      </w:r>
      <w:r>
        <w:rPr>
          <w:i w:val="0"/>
        </w:rPr>
        <w:t>(</w:t>
      </w:r>
      <w:r>
        <w:rPr>
          <w:i/>
        </w:rPr>
        <w:t>Z</w:t>
      </w:r>
      <w:r>
        <w:rPr>
          <w:i w:val="0"/>
        </w:rPr>
        <w:t xml:space="preserve"> | </w:t>
      </w:r>
      <w:r>
        <w:rPr>
          <w:i/>
        </w:rPr>
        <w:t>W</w:t>
      </w:r>
      <w:r>
        <w:rPr>
          <w:i w:val="0"/>
        </w:rPr>
        <w:t>). Zwei Ereignisse sind stochastisch unabhängig, wenn die Wahrscheinlichkeit des einen nicht vom Eintreten des anderen abhängt (Schnauss, o. J.-b, Folie 34):</w:t>
      </w:r>
    </w:p>
    <w:p>
      <w:pPr>
        <w:keepNext w:val="0"/>
        <w:spacing w:before="80" w:after="160"/>
        <w:jc w:val="center"/>
      </w:pPr>
      <w:r>
        <w:rPr>
          <w:i/>
        </w:rPr>
        <w:t>P</w:t>
      </w:r>
      <w:r>
        <w:rPr>
          <w:i w:val="0"/>
        </w:rPr>
        <w:t>(</w:t>
      </w:r>
      <w:r>
        <w:rPr>
          <w:i/>
        </w:rPr>
        <w:t>A</w:t>
      </w:r>
      <w:r>
        <w:rPr>
          <w:i w:val="0"/>
        </w:rPr>
        <w:t xml:space="preserve"> | </w:t>
      </w:r>
      <w:r>
        <w:rPr>
          <w:i/>
        </w:rPr>
        <w:t>B</w:t>
      </w:r>
      <w:r>
        <w:rPr>
          <w:i w:val="0"/>
        </w:rPr>
        <w:t xml:space="preserve">) = </w:t>
      </w:r>
      <w:r>
        <w:rPr>
          <w:i/>
        </w:rPr>
        <w:t>P</w:t>
      </w:r>
      <w:r>
        <w:rPr>
          <w:i w:val="0"/>
        </w:rPr>
        <w:t>(</w:t>
      </w:r>
      <w:r>
        <w:rPr>
          <w:i/>
        </w:rPr>
        <w:t>A</w:t>
      </w:r>
      <w:r>
        <w:rPr>
          <w:i w:val="0"/>
        </w:rPr>
        <w:t xml:space="preserve">)    bzw. gleichwertig    </w:t>
      </w:r>
      <w:r>
        <w:rPr>
          <w:i/>
        </w:rPr>
        <w:t>P</w:t>
      </w:r>
      <w:r>
        <w:rPr>
          <w:i w:val="0"/>
        </w:rPr>
        <w:t>(</w:t>
      </w:r>
      <w:r>
        <w:rPr>
          <w:i/>
        </w:rPr>
        <w:t>A</w:t>
      </w:r>
      <w:r>
        <w:rPr>
          <w:i w:val="0"/>
        </w:rPr>
        <w:t xml:space="preserve"> ∩ </w:t>
      </w:r>
      <w:r>
        <w:rPr>
          <w:i/>
        </w:rPr>
        <w:t>B</w:t>
      </w:r>
      <w:r>
        <w:rPr>
          <w:i w:val="0"/>
        </w:rPr>
        <w:t xml:space="preserve">) = </w:t>
      </w:r>
      <w:r>
        <w:rPr>
          <w:i/>
        </w:rPr>
        <w:t>P</w:t>
      </w:r>
      <w:r>
        <w:rPr>
          <w:i w:val="0"/>
        </w:rPr>
        <w:t>(</w:t>
      </w:r>
      <w:r>
        <w:rPr>
          <w:i/>
        </w:rPr>
        <w:t>A</w:t>
      </w:r>
      <w:r>
        <w:rPr>
          <w:i w:val="0"/>
        </w:rPr>
        <w:t xml:space="preserve">) · </w:t>
      </w:r>
      <w:r>
        <w:rPr>
          <w:i/>
        </w:rPr>
        <w:t>P</w:t>
      </w:r>
      <w:r>
        <w:rPr>
          <w:i w:val="0"/>
        </w:rPr>
        <w:t>(</w:t>
      </w:r>
      <w:r>
        <w:rPr>
          <w:i/>
        </w:rPr>
        <w:t>B</w:t>
      </w:r>
      <w:r>
        <w:rPr>
          <w:i w:val="0"/>
        </w:rPr>
        <w:t>)</w:t>
      </w:r>
    </w:p>
    <w:p>
      <w:pPr>
        <w:keepNext w:val="0"/>
      </w:pPr>
      <w:r>
        <w:rPr>
          <w:i w:val="0"/>
        </w:rPr>
        <w:t xml:space="preserve">Wäre das Zulassungsverfahren geschlechtsneutral, müsste also </w:t>
      </w:r>
      <w:r>
        <w:rPr>
          <w:i/>
        </w:rPr>
        <w:t>P</w:t>
      </w:r>
      <w:r>
        <w:rPr>
          <w:i w:val="0"/>
        </w:rPr>
        <w:t>(</w:t>
      </w:r>
      <w:r>
        <w:rPr>
          <w:i/>
        </w:rPr>
        <w:t>Z</w:t>
      </w:r>
      <w:r>
        <w:rPr>
          <w:i w:val="0"/>
        </w:rPr>
        <w:t xml:space="preserve"> ∩ </w:t>
      </w:r>
      <w:r>
        <w:rPr>
          <w:i/>
        </w:rPr>
        <w:t>W</w:t>
      </w:r>
      <w:r>
        <w:rPr>
          <w:i w:val="0"/>
        </w:rPr>
        <w:t xml:space="preserve">) = </w:t>
      </w:r>
      <w:r>
        <w:rPr>
          <w:i/>
        </w:rPr>
        <w:t>P</w:t>
      </w:r>
      <w:r>
        <w:rPr>
          <w:i w:val="0"/>
        </w:rPr>
        <w:t>(</w:t>
      </w:r>
      <w:r>
        <w:rPr>
          <w:i/>
        </w:rPr>
        <w:t>Z</w:t>
      </w:r>
      <w:r>
        <w:rPr>
          <w:i w:val="0"/>
        </w:rPr>
        <w:t xml:space="preserve">) · </w:t>
      </w:r>
      <w:r>
        <w:rPr>
          <w:i/>
        </w:rPr>
        <w:t>P</w:t>
      </w:r>
      <w:r>
        <w:rPr>
          <w:i w:val="0"/>
        </w:rPr>
        <w:t>(</w:t>
      </w:r>
      <w:r>
        <w:rPr>
          <w:i/>
        </w:rPr>
        <w:t>W</w:t>
      </w:r>
      <w:r>
        <w:rPr>
          <w:i w:val="0"/>
        </w:rPr>
        <w:t xml:space="preserve">) bzw. </w:t>
      </w:r>
      <w:r>
        <w:rPr>
          <w:i/>
        </w:rPr>
        <w:t>P</w:t>
      </w:r>
      <w:r>
        <w:rPr>
          <w:i w:val="0"/>
        </w:rPr>
        <w:t>(</w:t>
      </w:r>
      <w:r>
        <w:rPr>
          <w:i/>
        </w:rPr>
        <w:t>Z</w:t>
      </w:r>
      <w:r>
        <w:rPr>
          <w:i w:val="0"/>
        </w:rPr>
        <w:t xml:space="preserve"> | </w:t>
      </w:r>
      <w:r>
        <w:rPr>
          <w:i/>
        </w:rPr>
        <w:t>W</w:t>
      </w:r>
      <w:r>
        <w:rPr>
          <w:i w:val="0"/>
        </w:rPr>
        <w:t xml:space="preserve">) = </w:t>
      </w:r>
      <w:r>
        <w:rPr>
          <w:i/>
        </w:rPr>
        <w:t>P</w:t>
      </w:r>
      <w:r>
        <w:rPr>
          <w:i w:val="0"/>
        </w:rPr>
        <w:t>(</w:t>
      </w:r>
      <w:r>
        <w:rPr>
          <w:i/>
        </w:rPr>
        <w:t>Z</w:t>
      </w:r>
      <w:r>
        <w:rPr>
          <w:i w:val="0"/>
        </w:rPr>
        <w:t xml:space="preserve">) gelten. Das Vorgehen entspricht dem Beispiel «Navi und Klimaanlage» im Folienskript, bei dem </w:t>
      </w:r>
      <w:r>
        <w:rPr>
          <w:i/>
        </w:rPr>
        <w:t>P</w:t>
      </w:r>
      <w:r>
        <w:rPr>
          <w:i w:val="0"/>
        </w:rPr>
        <w:t>(</w:t>
      </w:r>
      <w:r>
        <w:rPr>
          <w:i/>
        </w:rPr>
        <w:t>KA</w:t>
      </w:r>
      <w:r>
        <w:rPr>
          <w:i w:val="0"/>
        </w:rPr>
        <w:t xml:space="preserve"> ∩ </w:t>
      </w:r>
      <w:r>
        <w:rPr>
          <w:i/>
        </w:rPr>
        <w:t>Navi</w:t>
      </w:r>
      <w:r>
        <w:rPr>
          <w:i w:val="0"/>
        </w:rPr>
        <w:t xml:space="preserve">) mit </w:t>
      </w:r>
      <w:r>
        <w:rPr>
          <w:i/>
        </w:rPr>
        <w:t>P</w:t>
      </w:r>
      <w:r>
        <w:rPr>
          <w:i w:val="0"/>
        </w:rPr>
        <w:t>(</w:t>
      </w:r>
      <w:r>
        <w:rPr>
          <w:i/>
        </w:rPr>
        <w:t>KA</w:t>
      </w:r>
      <w:r>
        <w:rPr>
          <w:i w:val="0"/>
        </w:rPr>
        <w:t xml:space="preserve">) · </w:t>
      </w:r>
      <w:r>
        <w:rPr>
          <w:i/>
        </w:rPr>
        <w:t>P</w:t>
      </w:r>
      <w:r>
        <w:rPr>
          <w:i w:val="0"/>
        </w:rPr>
        <w:t>(</w:t>
      </w:r>
      <w:r>
        <w:rPr>
          <w:i/>
        </w:rPr>
        <w:t>Navi</w:t>
      </w:r>
      <w:r>
        <w:rPr>
          <w:i w:val="0"/>
        </w:rPr>
        <w:t>) verglichen wird (Schnauss, o. J.-b, Folien 35–36).</w:t>
      </w:r>
    </w:p>
    <w:p>
      <w:pPr>
        <w:pStyle w:val="Heading2"/>
      </w:pPr>
      <w:r>
        <w:t>3.3  Satz der totalen Wahrscheinlichkeit</w:t>
      </w:r>
    </w:p>
    <w:p>
      <w:pPr>
        <w:keepNext/>
      </w:pPr>
      <w:r>
        <w:rPr>
          <w:i w:val="0"/>
        </w:rPr>
        <w:t xml:space="preserve">Im Baumdiagramm ergibt sich die Wahrscheinlichkeit eines Ereignisses als Summe über alle Wege, die dorthin führen: </w:t>
      </w:r>
      <w:r>
        <w:rPr>
          <w:i/>
        </w:rPr>
        <w:t>P</w:t>
      </w:r>
      <w:r>
        <w:rPr>
          <w:i w:val="0"/>
        </w:rPr>
        <w:t>(</w:t>
      </w:r>
      <w:r>
        <w:rPr>
          <w:i/>
        </w:rPr>
        <w:t>B</w:t>
      </w:r>
      <w:r>
        <w:rPr>
          <w:i w:val="0"/>
        </w:rPr>
        <w:t xml:space="preserve">) = </w:t>
      </w:r>
      <w:r>
        <w:rPr>
          <w:i/>
        </w:rPr>
        <w:t>P</w:t>
      </w:r>
      <w:r>
        <w:rPr>
          <w:i w:val="0"/>
        </w:rPr>
        <w:t>(</w:t>
      </w:r>
      <w:r>
        <w:rPr>
          <w:i/>
        </w:rPr>
        <w:t>A</w:t>
      </w:r>
      <w:r>
        <w:rPr>
          <w:i w:val="0"/>
        </w:rPr>
        <w:t xml:space="preserve">) · </w:t>
      </w:r>
      <w:r>
        <w:rPr>
          <w:i/>
        </w:rPr>
        <w:t>P</w:t>
      </w:r>
      <w:r>
        <w:rPr>
          <w:i w:val="0"/>
        </w:rPr>
        <w:t>(</w:t>
      </w:r>
      <w:r>
        <w:rPr>
          <w:i/>
        </w:rPr>
        <w:t>B</w:t>
      </w:r>
      <w:r>
        <w:rPr>
          <w:i w:val="0"/>
        </w:rPr>
        <w:t xml:space="preserve"> | </w:t>
      </w:r>
      <w:r>
        <w:rPr>
          <w:i/>
        </w:rPr>
        <w:t>A</w:t>
      </w:r>
      <w:r>
        <w:rPr>
          <w:i w:val="0"/>
        </w:rPr>
        <w:t xml:space="preserve">) + </w:t>
      </w:r>
      <w:r>
        <w:rPr>
          <w:i/>
        </w:rPr>
        <w:t>P</w:t>
      </w:r>
      <w:r>
        <w:rPr>
          <w:i w:val="0"/>
        </w:rPr>
        <w:t>(</w:t>
      </w:r>
      <w:r>
        <w:rPr>
          <w:i/>
        </w:rPr>
        <w:t>Ā</w:t>
      </w:r>
      <w:r>
        <w:rPr>
          <w:i w:val="0"/>
        </w:rPr>
        <w:t xml:space="preserve">) · </w:t>
      </w:r>
      <w:r>
        <w:rPr>
          <w:i/>
        </w:rPr>
        <w:t>P</w:t>
      </w:r>
      <w:r>
        <w:rPr>
          <w:i w:val="0"/>
        </w:rPr>
        <w:t>(</w:t>
      </w:r>
      <w:r>
        <w:rPr>
          <w:i/>
        </w:rPr>
        <w:t>B</w:t>
      </w:r>
      <w:r>
        <w:rPr>
          <w:i w:val="0"/>
        </w:rPr>
        <w:t xml:space="preserve"> | </w:t>
      </w:r>
      <w:r>
        <w:rPr>
          <w:i/>
        </w:rPr>
        <w:t>Ā</w:t>
      </w:r>
      <w:r>
        <w:rPr>
          <w:i w:val="0"/>
        </w:rPr>
        <w:t xml:space="preserve">) (Schnauss, o. J.-b, Folie 37). Verallgemeinert auf die sechs Fachbereiche </w:t>
      </w:r>
      <w:r>
        <w:rPr>
          <w:i/>
        </w:rPr>
        <w:t>F</w:t>
      </w:r>
      <w:r>
        <w:rPr>
          <w:i w:val="0"/>
        </w:rPr>
        <w:t xml:space="preserve">ᵢ gilt für die Zulassungsquote eines Geschlechts </w:t>
      </w:r>
      <w:r>
        <w:rPr>
          <w:i/>
        </w:rPr>
        <w:t>G</w:t>
      </w:r>
      <w:r>
        <w:rPr>
          <w:i w:val="0"/>
        </w:rPr>
        <w:t>:</w:t>
      </w:r>
    </w:p>
    <w:p>
      <w:pPr>
        <w:keepNext w:val="0"/>
        <w:spacing w:before="80" w:after="160"/>
        <w:jc w:val="center"/>
      </w:pPr>
      <w:r>
        <w:rPr>
          <w:i/>
        </w:rPr>
        <w:t>P</w:t>
      </w:r>
      <w:r>
        <w:rPr>
          <w:i w:val="0"/>
        </w:rPr>
        <w:t>(</w:t>
      </w:r>
      <w:r>
        <w:rPr>
          <w:i/>
        </w:rPr>
        <w:t>Z</w:t>
      </w:r>
      <w:r>
        <w:rPr>
          <w:i w:val="0"/>
        </w:rPr>
        <w:t xml:space="preserve"> | </w:t>
      </w:r>
      <w:r>
        <w:rPr>
          <w:i/>
        </w:rPr>
        <w:t>G</w:t>
      </w:r>
      <w:r>
        <w:rPr>
          <w:i w:val="0"/>
        </w:rPr>
        <w:t xml:space="preserve">) = Σᵢ </w:t>
      </w:r>
      <w:r>
        <w:rPr>
          <w:i/>
        </w:rPr>
        <w:t>P</w:t>
      </w:r>
      <w:r>
        <w:rPr>
          <w:i w:val="0"/>
        </w:rPr>
        <w:t>(</w:t>
      </w:r>
      <w:r>
        <w:rPr>
          <w:i/>
        </w:rPr>
        <w:t>F</w:t>
      </w:r>
      <w:r>
        <w:rPr>
          <w:i w:val="0"/>
        </w:rPr>
        <w:t xml:space="preserve">ᵢ | </w:t>
      </w:r>
      <w:r>
        <w:rPr>
          <w:i/>
        </w:rPr>
        <w:t>G</w:t>
      </w:r>
      <w:r>
        <w:rPr>
          <w:i w:val="0"/>
        </w:rPr>
        <w:t xml:space="preserve">) · </w:t>
      </w:r>
      <w:r>
        <w:rPr>
          <w:i/>
        </w:rPr>
        <w:t>P</w:t>
      </w:r>
      <w:r>
        <w:rPr>
          <w:i w:val="0"/>
        </w:rPr>
        <w:t>(</w:t>
      </w:r>
      <w:r>
        <w:rPr>
          <w:i/>
        </w:rPr>
        <w:t>Z</w:t>
      </w:r>
      <w:r>
        <w:rPr>
          <w:i w:val="0"/>
        </w:rPr>
        <w:t xml:space="preserve"> | </w:t>
      </w:r>
      <w:r>
        <w:rPr>
          <w:i/>
        </w:rPr>
        <w:t>F</w:t>
      </w:r>
      <w:r>
        <w:rPr>
          <w:i w:val="0"/>
        </w:rPr>
        <w:t xml:space="preserve">ᵢ, </w:t>
      </w:r>
      <w:r>
        <w:rPr>
          <w:i/>
        </w:rPr>
        <w:t>G</w:t>
      </w:r>
      <w:r>
        <w:rPr>
          <w:i w:val="0"/>
        </w:rPr>
        <w:t>)</w:t>
      </w:r>
    </w:p>
    <w:p>
      <w:pPr>
        <w:keepNext w:val="0"/>
      </w:pPr>
      <w:r>
        <w:rPr>
          <w:i w:val="0"/>
        </w:rPr>
        <w:t>Die Gesamtquote ist also ein gewichteter Mittelwert der Fachbereichsquoten, gewichtet mit der Verteilung der Bewerbungen auf die Fachbereiche. Sie hängt damit nicht nur davon ab, wie erfolgreich Frauen bzw. Männer in einem Fachbereich sind, sondern auch davon, wo sie sich bewerben. Mit den Werten aus Tabelle 4 ergibt sich für Frauen 0.059 · 0.824 + 0.014 · 0.680 + … + 0.186 · 0.070 = 30.4 % und für Männer 44.6 % (Tabelle 4: 44.5 %; die Differenz entsteht durch Rundung). Damit ist die Datenerfassung plausibilisiert.</w:t>
      </w:r>
    </w:p>
    <w:p>
      <w:pPr>
        <w:keepNext w:val="0"/>
      </w:pPr>
      <w:r>
        <w:rPr>
          <w:i w:val="0"/>
        </w:rPr>
        <w:t xml:space="preserve">Aus derselben Formel folgt ein nützlicher Zusammenhang: </w:t>
      </w:r>
      <w:r>
        <w:rPr>
          <w:i/>
        </w:rPr>
        <w:t>P</w:t>
      </w:r>
      <w:r>
        <w:rPr>
          <w:i w:val="0"/>
        </w:rPr>
        <w:t>(</w:t>
      </w:r>
      <w:r>
        <w:rPr>
          <w:i/>
        </w:rPr>
        <w:t>Z</w:t>
      </w:r>
      <w:r>
        <w:rPr>
          <w:i w:val="0"/>
        </w:rPr>
        <w:t xml:space="preserve">) ist ein gewichteter Mittelwert aus </w:t>
      </w:r>
      <w:r>
        <w:rPr>
          <w:i/>
        </w:rPr>
        <w:t>P</w:t>
      </w:r>
      <w:r>
        <w:rPr>
          <w:i w:val="0"/>
        </w:rPr>
        <w:t>(</w:t>
      </w:r>
      <w:r>
        <w:rPr>
          <w:i/>
        </w:rPr>
        <w:t>Z</w:t>
      </w:r>
      <w:r>
        <w:rPr>
          <w:i w:val="0"/>
        </w:rPr>
        <w:t xml:space="preserve"> | </w:t>
      </w:r>
      <w:r>
        <w:rPr>
          <w:i/>
        </w:rPr>
        <w:t>W</w:t>
      </w:r>
      <w:r>
        <w:rPr>
          <w:i w:val="0"/>
        </w:rPr>
        <w:t xml:space="preserve">) und </w:t>
      </w:r>
      <w:r>
        <w:rPr>
          <w:i/>
        </w:rPr>
        <w:t>P</w:t>
      </w:r>
      <w:r>
        <w:rPr>
          <w:i w:val="0"/>
        </w:rPr>
        <w:t>(</w:t>
      </w:r>
      <w:r>
        <w:rPr>
          <w:i/>
        </w:rPr>
        <w:t>Z</w:t>
      </w:r>
      <w:r>
        <w:rPr>
          <w:i w:val="0"/>
        </w:rPr>
        <w:t xml:space="preserve"> | </w:t>
      </w:r>
      <w:r>
        <w:rPr>
          <w:i/>
        </w:rPr>
        <w:t>M</w:t>
      </w:r>
      <w:r>
        <w:rPr>
          <w:i w:val="0"/>
        </w:rPr>
        <w:t xml:space="preserve">). Deshalb sind </w:t>
      </w:r>
      <w:r>
        <w:rPr>
          <w:i/>
        </w:rPr>
        <w:t>Z</w:t>
      </w:r>
      <w:r>
        <w:rPr>
          <w:i w:val="0"/>
        </w:rPr>
        <w:t xml:space="preserve"> und </w:t>
      </w:r>
      <w:r>
        <w:rPr>
          <w:i/>
        </w:rPr>
        <w:t>W</w:t>
      </w:r>
      <w:r>
        <w:rPr>
          <w:i w:val="0"/>
        </w:rPr>
        <w:t xml:space="preserve"> genau dann unabhängig, wenn Frauen und Männer dieselbe Zulassungsquote haben.</w:t>
      </w:r>
    </w:p>
    <w:p>
      <w:pPr>
        <w:pStyle w:val="Heading2"/>
      </w:pPr>
      <w:r>
        <w:t>3.4  Simpson-Paradoxon</w:t>
      </w:r>
    </w:p>
    <w:p>
      <w:pPr>
        <w:keepNext w:val="0"/>
      </w:pPr>
      <w:r>
        <w:rPr>
          <w:i w:val="0"/>
        </w:rPr>
        <w:t xml:space="preserve">Ein Zusammenhang zwischen zwei Merkmalen kann sich abschwächen, verschwinden oder sogar umkehren, wenn man Daten aus mehreren Gruppen zusammenfasst. Dieses Phänomen heisst nach Simpson (1951) Simpson-Paradoxon. Es tritt auf, wenn eine Drittvariable, hier der Fachbereich, sowohl mit dem Geschlecht als auch mit der Zulassung zusammenhängt. Die Berkeley-Daten gelten als das bekannteste Beispiel dafür (Bickel et al., 1975; R Core Team, o. J.). Für die Unabhängigkeit bedeutet das: </w:t>
      </w:r>
      <w:r>
        <w:rPr>
          <w:i/>
        </w:rPr>
        <w:t>Z</w:t>
      </w:r>
      <w:r>
        <w:rPr>
          <w:i w:val="0"/>
        </w:rPr>
        <w:t xml:space="preserve"> und </w:t>
      </w:r>
      <w:r>
        <w:rPr>
          <w:i/>
        </w:rPr>
        <w:t>W</w:t>
      </w:r>
      <w:r>
        <w:rPr>
          <w:i w:val="0"/>
        </w:rPr>
        <w:t xml:space="preserve"> können insgesamt abhängig und innerhalb jedes Fachbereichs trotzdem (annähernd) unabhängig sein.</w:t>
      </w:r>
    </w:p>
    <w:p>
      <w:pPr>
        <w:pStyle w:val="Heading1"/>
      </w:pPr>
      <w:r>
        <w:t>4  Vorüberlegungen zur programmtechnischen Umsetzung</w:t>
      </w:r>
    </w:p>
    <w:p>
      <w:pPr>
        <w:keepNext/>
      </w:pPr>
      <w:r>
        <w:rPr>
          <w:i w:val="0"/>
        </w:rPr>
        <w:t>Vor dem Programmieren haben wir folgende Fragen geklärt:</w:t>
      </w:r>
    </w:p>
    <w:p>
      <w:pPr>
        <w:pStyle w:val="ListBullet"/>
      </w:pPr>
      <w:r>
        <w:rPr>
          <w:b/>
        </w:rPr>
        <w:t xml:space="preserve">Welche Daten liegen vor? </w:t>
      </w:r>
      <w:r>
        <w:rPr>
          <w:i w:val="0"/>
        </w:rPr>
        <w:t xml:space="preserve">Tabelle 4 enthält nur Prozentwerte, keine Anzahlen und kein Verhältnis Frauen zu Männern. Für Aufgabe (b) und die bedingten Quoten reicht das. Für </w:t>
      </w:r>
      <w:r>
        <w:rPr>
          <w:i/>
        </w:rPr>
        <w:t>P</w:t>
      </w:r>
      <w:r>
        <w:rPr>
          <w:i w:val="0"/>
        </w:rPr>
        <w:t>(</w:t>
      </w:r>
      <w:r>
        <w:rPr>
          <w:i/>
        </w:rPr>
        <w:t>W</w:t>
      </w:r>
      <w:r>
        <w:rPr>
          <w:i w:val="0"/>
        </w:rPr>
        <w:t xml:space="preserve">) und </w:t>
      </w:r>
      <w:r>
        <w:rPr>
          <w:i/>
        </w:rPr>
        <w:t>P</w:t>
      </w:r>
      <w:r>
        <w:rPr>
          <w:i w:val="0"/>
        </w:rPr>
        <w:t>(</w:t>
      </w:r>
      <w:r>
        <w:rPr>
          <w:i/>
        </w:rPr>
        <w:t>Z</w:t>
      </w:r>
      <w:r>
        <w:rPr>
          <w:i w:val="0"/>
        </w:rPr>
        <w:t xml:space="preserve"> ∩ </w:t>
      </w:r>
      <w:r>
        <w:rPr>
          <w:i/>
        </w:rPr>
        <w:t>W</w:t>
      </w:r>
      <w:r>
        <w:rPr>
          <w:i w:val="0"/>
        </w:rPr>
        <w:t>) braucht es jedoch absolute Häufigkeiten.</w:t>
      </w:r>
    </w:p>
    <w:p>
      <w:pPr>
        <w:pStyle w:val="ListBullet"/>
      </w:pPr>
      <w:r>
        <w:rPr>
          <w:b/>
        </w:rPr>
        <w:t xml:space="preserve">Woher kommen die Anzahlen? </w:t>
      </w:r>
      <w:r>
        <w:rPr>
          <w:i w:val="0"/>
        </w:rPr>
        <w:t>Ein Rückrechnen aus den gerundeten Prozenten ist ungenau (z. B. 26 statt 25 Bewerbungen von Frauen in Fachbereich B). Wir übernehmen deshalb die Anzahlen des Originaldatensatzes, der in R als UCBAdmissions verfügbar ist (R Core Team, o. J.; Bickel et al., 1975): 1 835 Bewerbungen von Frauen und 2 691 von Männern. Der Code prüft, dass diese Anzahlen alle 24 Prozentwerte aus Tabelle 4 innerhalb der Rundungsgenauigkeit reproduzieren. Ergebnis: 0 Abweichungen.</w:t>
      </w:r>
    </w:p>
    <w:p>
      <w:pPr>
        <w:pStyle w:val="ListBullet"/>
      </w:pPr>
      <w:r>
        <w:rPr>
          <w:b/>
        </w:rPr>
        <w:t xml:space="preserve">Welche Datenstruktur? </w:t>
      </w:r>
      <w:r>
        <w:rPr>
          <w:i w:val="0"/>
        </w:rPr>
        <w:t>Ein «langes» pandas-DataFrame mit einer Zeile je Fachbereich × Geschlecht × Entscheid und der Spalte Anzahl. Daraus lässt sich jede Kreuztabelle mit pivot_table erzeugen, für alle Fachbereiche zusammen oder für einen einzelnen.</w:t>
      </w:r>
    </w:p>
    <w:p>
      <w:pPr>
        <w:pStyle w:val="ListBullet"/>
      </w:pPr>
      <w:r>
        <w:rPr>
          <w:b/>
        </w:rPr>
        <w:t xml:space="preserve">Was wiederholt sich? </w:t>
      </w:r>
      <w:r>
        <w:rPr>
          <w:i w:val="0"/>
        </w:rPr>
        <w:t>Kreuztabelle bilden, Unabhängigkeit prüfen und gruppierte Säulendiagramme zeichnen, jeweils einmal gesamthaft und sechsmal je Fachbereich. Diese Schritte sind deshalb als Funktionen umgesetzt (vgl. Kapitel 2).</w:t>
      </w:r>
    </w:p>
    <w:p>
      <w:pPr>
        <w:pStyle w:val="ListBullet"/>
      </w:pPr>
      <w:r>
        <w:rPr>
          <w:b/>
        </w:rPr>
        <w:t xml:space="preserve">Wie wird dargestellt? </w:t>
      </w:r>
      <w:r>
        <w:rPr>
          <w:i w:val="0"/>
        </w:rPr>
        <w:t>Wie im Kurs: Säulendiagramme für kategoriale Daten, weil die Säulenhöhe proportional zur relativen Häufigkeit ist; gruppierte Säulendiagramme für Kreuztabellen; ein Streudiagramm für zwei metrische Grössen (Schnauss, o. J.-a, Folien 16, 42, 45). Jedes Geschlecht hat in allen Abbildungen dieselbe Farbe, die Werte stehen direkt an den Säulen.</w:t>
      </w:r>
    </w:p>
    <w:p>
      <w:pPr>
        <w:keepNext/>
        <w:spacing w:after="0"/>
      </w:pPr>
      <w:r>
        <w:rPr>
          <w:b/>
        </w:rPr>
        <w:t>Tabelle 1</w:t>
      </w:r>
    </w:p>
    <w:p>
      <w:pPr>
        <w:keepNext/>
      </w:pPr>
      <w:r>
        <w:rPr>
          <w:i/>
        </w:rPr>
        <w:t>Verwendete Libraries und Begründung</w:t>
      </w:r>
    </w:p>
    <w:tbl>
      <w:tblPr>
        <w:tblStyle w:val="LightGrid-Accent1"/>
        <w:tblW w:type="auto" w:w="0"/>
        <w:tblLayout w:type="fixed"/>
        <w:tblLook w:firstColumn="1" w:firstRow="1" w:lastColumn="0" w:lastRow="0" w:noHBand="0" w:noVBand="1" w:val="04A0"/>
      </w:tblPr>
      <w:tblGrid>
        <w:gridCol w:w="1474"/>
        <w:gridCol w:w="2494"/>
        <w:gridCol w:w="5102"/>
      </w:tblGrid>
      <w:tr>
        <w:tc>
          <w:tcPr>
            <w:tcW w:type="dxa" w:w="1474"/>
          </w:tcPr>
          <w:p>
            <w:pPr>
              <w:keepNext/>
            </w:pPr>
            <w:r>
              <w:rPr>
                <w:sz w:val="19"/>
              </w:rPr>
              <w:t>Library</w:t>
            </w:r>
          </w:p>
        </w:tc>
        <w:tc>
          <w:tcPr>
            <w:tcW w:type="dxa" w:w="2494"/>
          </w:tcPr>
          <w:p>
            <w:pPr>
              <w:keepNext/>
            </w:pPr>
            <w:r>
              <w:rPr>
                <w:sz w:val="19"/>
              </w:rPr>
              <w:t>Einsatz</w:t>
            </w:r>
          </w:p>
        </w:tc>
        <w:tc>
          <w:tcPr>
            <w:tcW w:type="dxa" w:w="5102"/>
          </w:tcPr>
          <w:p>
            <w:pPr>
              <w:keepNext/>
            </w:pPr>
            <w:r>
              <w:rPr>
                <w:sz w:val="19"/>
              </w:rPr>
              <w:t>Begründung</w:t>
            </w:r>
          </w:p>
        </w:tc>
      </w:tr>
      <w:tr>
        <w:tc>
          <w:tcPr>
            <w:tcW w:type="dxa" w:w="1474"/>
          </w:tcPr>
          <w:p>
            <w:pPr>
              <w:keepNext/>
            </w:pPr>
            <w:r>
              <w:rPr>
                <w:sz w:val="19"/>
              </w:rPr>
              <w:t>pandas</w:t>
            </w:r>
          </w:p>
        </w:tc>
        <w:tc>
          <w:tcPr>
            <w:tcW w:type="dxa" w:w="2494"/>
          </w:tcPr>
          <w:p>
            <w:pPr>
              <w:keepNext/>
            </w:pPr>
            <w:r>
              <w:rPr>
                <w:sz w:val="19"/>
              </w:rPr>
              <w:t>DataFrame, pivot_table, groupby</w:t>
            </w:r>
          </w:p>
        </w:tc>
        <w:tc>
          <w:tcPr>
            <w:tcW w:type="dxa" w:w="5102"/>
          </w:tcPr>
          <w:p>
            <w:pPr>
              <w:keepNext/>
            </w:pPr>
            <w:r>
              <w:rPr>
                <w:sz w:val="19"/>
              </w:rPr>
              <w:t>Standardwerkzeug für Tabellendaten in Python (McKinney, 2018); Kreuztabellen in einer Zeile</w:t>
            </w:r>
          </w:p>
        </w:tc>
      </w:tr>
      <w:tr>
        <w:tc>
          <w:tcPr>
            <w:tcW w:type="dxa" w:w="1474"/>
          </w:tcPr>
          <w:p>
            <w:pPr>
              <w:keepNext/>
            </w:pPr>
            <w:r>
              <w:rPr>
                <w:sz w:val="19"/>
              </w:rPr>
              <w:t>numpy</w:t>
            </w:r>
          </w:p>
        </w:tc>
        <w:tc>
          <w:tcPr>
            <w:tcW w:type="dxa" w:w="2494"/>
          </w:tcPr>
          <w:p>
            <w:pPr>
              <w:keepNext/>
            </w:pPr>
            <w:r>
              <w:rPr>
                <w:sz w:val="19"/>
              </w:rPr>
              <w:t>Rechnen auf Spalten, Korrelation</w:t>
            </w:r>
          </w:p>
        </w:tc>
        <w:tc>
          <w:tcPr>
            <w:tcW w:type="dxa" w:w="5102"/>
          </w:tcPr>
          <w:p>
            <w:pPr>
              <w:keepNext/>
            </w:pPr>
            <w:r>
              <w:rPr>
                <w:sz w:val="19"/>
              </w:rPr>
              <w:t>Grundlage von pandas; keine Schleifen für einfache Rechnungen nötig</w:t>
            </w:r>
          </w:p>
        </w:tc>
      </w:tr>
      <w:tr>
        <w:tc>
          <w:tcPr>
            <w:tcW w:type="dxa" w:w="1474"/>
          </w:tcPr>
          <w:p>
            <w:pPr>
              <w:keepNext/>
            </w:pPr>
            <w:r>
              <w:rPr>
                <w:sz w:val="19"/>
              </w:rPr>
              <w:t>matplotlib</w:t>
            </w:r>
          </w:p>
        </w:tc>
        <w:tc>
          <w:tcPr>
            <w:tcW w:type="dxa" w:w="2494"/>
          </w:tcPr>
          <w:p>
            <w:pPr>
              <w:keepNext/>
            </w:pPr>
            <w:r>
              <w:rPr>
                <w:sz w:val="19"/>
              </w:rPr>
              <w:t>Alle Abbildungen</w:t>
            </w:r>
          </w:p>
        </w:tc>
        <w:tc>
          <w:tcPr>
            <w:tcW w:type="dxa" w:w="5102"/>
          </w:tcPr>
          <w:p>
            <w:pPr>
              <w:keepNext/>
            </w:pPr>
            <w:r>
              <w:rPr>
                <w:sz w:val="19"/>
              </w:rPr>
              <w:t>Volle Kontrolle über Farben, Beschriftungen und den PNG-Export für Ausarbeitung und Folien</w:t>
            </w:r>
          </w:p>
        </w:tc>
      </w:tr>
      <w:tr>
        <w:tc>
          <w:tcPr>
            <w:tcW w:type="dxa" w:w="1474"/>
          </w:tcPr>
          <w:p>
            <w:pPr>
              <w:keepNext/>
            </w:pPr>
            <w:r>
              <w:rPr>
                <w:sz w:val="19"/>
              </w:rPr>
              <w:t>re, functools</w:t>
            </w:r>
          </w:p>
        </w:tc>
        <w:tc>
          <w:tcPr>
            <w:tcW w:type="dxa" w:w="2494"/>
          </w:tcPr>
          <w:p>
            <w:pPr>
              <w:keepNext/>
            </w:pPr>
            <w:r>
              <w:rPr>
                <w:sz w:val="19"/>
              </w:rPr>
              <w:t>Bereinigung, partial</w:t>
            </w:r>
          </w:p>
        </w:tc>
        <w:tc>
          <w:tcPr>
            <w:tcW w:type="dxa" w:w="5102"/>
          </w:tcPr>
          <w:p>
            <w:pPr>
              <w:keepNext/>
            </w:pPr>
            <w:r>
              <w:rPr>
                <w:sz w:val="19"/>
              </w:rPr>
              <w:t>Standardbibliothek, keine Installation nötig; direkt aus McKinney (2018, S. 74, 77)</w:t>
            </w:r>
          </w:p>
        </w:tc>
      </w:tr>
    </w:tbl>
    <w:p>
      <w:pPr>
        <w:spacing w:after="240"/>
      </w:pPr>
      <w:r>
        <w:rPr>
          <w:i/>
          <w:sz w:val="19"/>
        </w:rPr>
        <w:t xml:space="preserve">Anmerkung. </w:t>
      </w:r>
      <w:r>
        <w:rPr>
          <w:sz w:val="19"/>
        </w:rPr>
        <w:t>Der Kurs arbeitet mit Anaconda und Jupyter (ZHAW SML, 2019); pandas, NumPy und Matplotlib sind darin bereits enthalten.</w:t>
      </w:r>
    </w:p>
    <w:p>
      <w:pPr>
        <w:pStyle w:val="Heading1"/>
      </w:pPr>
      <w:r>
        <w:t>5  Darstellung der Ungerechtigkeit (Aufgabe b)</w:t>
      </w:r>
    </w:p>
    <w:p>
      <w:pPr>
        <w:keepNext w:val="0"/>
      </w:pPr>
      <w:r>
        <w:rPr>
          <w:i w:val="0"/>
        </w:rPr>
        <w:t>Damit ein Betrachter schnell auf eine Ungerechtigkeit schliessen kann, genügt ein einziger Vergleich: die Zulassungsquote aller Frauen gegenüber der aller Männer. Wir wählen ein Säulendiagramm mit zwei Säulen, sichtbarer Nullachse, direkter Wertbeschriftung und eingezeichneter Differenz (Abbildung 1). Weitere Details würden von dieser Kernaussage ablenken.</w:t>
      </w:r>
    </w:p>
    <w:p>
      <w:pPr>
        <w:keepNext/>
        <w:spacing w:after="0"/>
      </w:pPr>
      <w:r>
        <w:rPr>
          <w:b/>
        </w:rPr>
        <w:t>Abbildung 1</w:t>
      </w:r>
    </w:p>
    <w:p>
      <w:pPr>
        <w:keepNext/>
      </w:pPr>
      <w:r>
        <w:rPr>
          <w:i/>
        </w:rPr>
        <w:t>Zulassungsquote nach Geschlecht über alle sechs Fachbereiche</w:t>
      </w:r>
    </w:p>
    <w:p>
      <w:pPr>
        <w:keepNext/>
        <w:jc w:val="center"/>
      </w:pPr>
      <w:r>
        <w:drawing>
          <wp:inline xmlns:a="http://schemas.openxmlformats.org/drawingml/2006/main" xmlns:pic="http://schemas.openxmlformats.org/drawingml/2006/picture">
            <wp:extent cx="4140000" cy="2898000"/>
            <wp:docPr id="1" name="Picture 1"/>
            <wp:cNvGraphicFramePr>
              <a:graphicFrameLocks noChangeAspect="1"/>
            </wp:cNvGraphicFramePr>
            <a:graphic>
              <a:graphicData uri="http://schemas.openxmlformats.org/drawingml/2006/picture">
                <pic:pic>
                  <pic:nvPicPr>
                    <pic:cNvPr id="0" name="abb1_gesamtquote.png"/>
                    <pic:cNvPicPr/>
                  </pic:nvPicPr>
                  <pic:blipFill>
                    <a:blip r:embed="rId9"/>
                    <a:stretch>
                      <a:fillRect/>
                    </a:stretch>
                  </pic:blipFill>
                  <pic:spPr>
                    <a:xfrm>
                      <a:off x="0" y="0"/>
                      <a:ext cx="4140000" cy="2898000"/>
                    </a:xfrm>
                    <a:prstGeom prst="rect"/>
                  </pic:spPr>
                </pic:pic>
              </a:graphicData>
            </a:graphic>
          </wp:inline>
        </w:drawing>
      </w:r>
    </w:p>
    <w:p>
      <w:pPr>
        <w:spacing w:after="240"/>
      </w:pPr>
      <w:r>
        <w:rPr>
          <w:i/>
          <w:sz w:val="19"/>
        </w:rPr>
        <w:t xml:space="preserve">Anmerkung. </w:t>
      </w:r>
      <w:r>
        <w:rPr>
          <w:sz w:val="19"/>
        </w:rPr>
        <w:t>Eigene Darstellung. Daten aus Bickel et al. (1975), bereitgestellt als R-Datensatz UCBAdmissions (R Core Team, o. J.).</w:t>
      </w:r>
    </w:p>
    <w:p>
      <w:pPr>
        <w:keepNext w:val="0"/>
      </w:pPr>
      <w:r>
        <w:rPr>
          <w:i w:val="0"/>
        </w:rPr>
        <w:t>Männer wurden zu 44.5 % zugelassen, Frauen nur zu 30.4 %. Der Unterschied beträgt 14.2 Prozentpunkte (exakt 44.52 % − 30.35 %), die Quote der Männer ist rund 1.47-mal so hoch. Wären die 1 835 Bewerberinnen mit der Quote der Männer zugelassen worden, hätten 817 statt 557 Frauen einen Studienplatz erhalten. Auf den ersten Blick spricht das deutlich für eine Benachteiligung von Frauen.</w:t>
      </w:r>
    </w:p>
    <w:p>
      <w:pPr>
        <w:pStyle w:val="Heading1"/>
      </w:pPr>
      <w:r>
        <w:t>6  Vergleich der Verteilungen und Interpretation (Aufgabe c)</w:t>
      </w:r>
    </w:p>
    <w:p>
      <w:pPr>
        <w:pStyle w:val="Heading2"/>
      </w:pPr>
      <w:r>
        <w:t>6.1  Zulassungsquoten innerhalb der Fachbereiche</w:t>
      </w:r>
    </w:p>
    <w:p>
      <w:pPr>
        <w:keepNext w:val="0"/>
      </w:pPr>
      <w:r>
        <w:rPr>
          <w:i w:val="0"/>
        </w:rPr>
        <w:t>Innerhalb der Fachbereiche zeigt sich ein anderes Bild (Abbildung 2). In vier von sechs Fachbereichen (A, B, D, F) haben Frauen die höhere Zulassungsquote, in A sogar um 20.3 Prozentpunkte. In C und E liegen die Männer mit 2.9 bzw. 3.8 Prozentpunkten leicht vorne. Eine systematische Benachteiligung von Frauen ist auf Ebene der Fachbereiche, die über die Zulassung entscheiden, nicht erkennbar.</w:t>
      </w:r>
    </w:p>
    <w:p>
      <w:pPr>
        <w:keepNext/>
        <w:spacing w:after="0"/>
      </w:pPr>
      <w:r>
        <w:rPr>
          <w:b/>
        </w:rPr>
        <w:t>Abbildung 2</w:t>
      </w:r>
    </w:p>
    <w:p>
      <w:pPr>
        <w:keepNext/>
      </w:pPr>
      <w:r>
        <w:rPr>
          <w:i/>
        </w:rPr>
        <w:t>Zulassungsquote je Fachbereich und Geschlecht (in %)</w:t>
      </w:r>
    </w:p>
    <w:p>
      <w:pPr>
        <w:keepNext/>
        <w:jc w:val="center"/>
      </w:pPr>
      <w:r>
        <w:drawing>
          <wp:inline xmlns:a="http://schemas.openxmlformats.org/drawingml/2006/main" xmlns:pic="http://schemas.openxmlformats.org/drawingml/2006/picture">
            <wp:extent cx="5040000" cy="2772000"/>
            <wp:docPr id="2" name="Picture 2"/>
            <wp:cNvGraphicFramePr>
              <a:graphicFrameLocks noChangeAspect="1"/>
            </wp:cNvGraphicFramePr>
            <a:graphic>
              <a:graphicData uri="http://schemas.openxmlformats.org/drawingml/2006/picture">
                <pic:pic>
                  <pic:nvPicPr>
                    <pic:cNvPr id="0" name="abb2_quote_fachbereich.png"/>
                    <pic:cNvPicPr/>
                  </pic:nvPicPr>
                  <pic:blipFill>
                    <a:blip r:embed="rId10"/>
                    <a:stretch>
                      <a:fillRect/>
                    </a:stretch>
                  </pic:blipFill>
                  <pic:spPr>
                    <a:xfrm>
                      <a:off x="0" y="0"/>
                      <a:ext cx="5040000" cy="2772000"/>
                    </a:xfrm>
                    <a:prstGeom prst="rect"/>
                  </pic:spPr>
                </pic:pic>
              </a:graphicData>
            </a:graphic>
          </wp:inline>
        </w:drawing>
      </w:r>
    </w:p>
    <w:p>
      <w:pPr>
        <w:spacing w:after="240"/>
      </w:pPr>
      <w:r>
        <w:rPr>
          <w:i/>
          <w:sz w:val="19"/>
        </w:rPr>
        <w:t xml:space="preserve">Anmerkung. </w:t>
      </w:r>
      <w:r>
        <w:rPr>
          <w:sz w:val="19"/>
        </w:rPr>
        <w:t>Eigene Darstellung. Daten aus Tabelle 4 der Aufgabenstellung (ZHAW SML, 2026).</w:t>
      </w:r>
    </w:p>
    <w:p>
      <w:pPr>
        <w:pStyle w:val="Heading2"/>
      </w:pPr>
      <w:r>
        <w:t>6.2  Verteilung der Bewerbungen auf die Fachbereiche</w:t>
      </w:r>
    </w:p>
    <w:p>
      <w:pPr>
        <w:keepNext w:val="0"/>
      </w:pPr>
      <w:r>
        <w:rPr>
          <w:i w:val="0"/>
        </w:rPr>
        <w:t>Die beiden Geschlechter verteilen sich sehr unterschiedlich auf die Fachbereiche (Abbildung 3). 51.5 % der Männer bewarben sich in A oder B, wo rund zwei Drittel der Bewerbungen erfolgreich sind. Von den Frauen taten dies nur 7.2 %; 92.8 % bewarben sich in C bis F, wo die Quoten zwischen 6 % und 35 % liegen.</w:t>
      </w:r>
    </w:p>
    <w:p>
      <w:pPr>
        <w:keepNext/>
        <w:spacing w:after="0"/>
      </w:pPr>
      <w:r>
        <w:rPr>
          <w:b/>
        </w:rPr>
        <w:t>Abbildung 3</w:t>
      </w:r>
    </w:p>
    <w:p>
      <w:pPr>
        <w:keepNext/>
      </w:pPr>
      <w:r>
        <w:rPr>
          <w:i/>
        </w:rPr>
        <w:t>Anteil der Bewerbungen je Fachbereich, getrennt nach Geschlecht (in %)</w:t>
      </w:r>
    </w:p>
    <w:p>
      <w:pPr>
        <w:keepNext/>
        <w:jc w:val="center"/>
      </w:pPr>
      <w:r>
        <w:drawing>
          <wp:inline xmlns:a="http://schemas.openxmlformats.org/drawingml/2006/main" xmlns:pic="http://schemas.openxmlformats.org/drawingml/2006/picture">
            <wp:extent cx="5040000" cy="2772000"/>
            <wp:docPr id="3" name="Picture 3"/>
            <wp:cNvGraphicFramePr>
              <a:graphicFrameLocks noChangeAspect="1"/>
            </wp:cNvGraphicFramePr>
            <a:graphic>
              <a:graphicData uri="http://schemas.openxmlformats.org/drawingml/2006/picture">
                <pic:pic>
                  <pic:nvPicPr>
                    <pic:cNvPr id="0" name="abb3_anteil_fachbereich.png"/>
                    <pic:cNvPicPr/>
                  </pic:nvPicPr>
                  <pic:blipFill>
                    <a:blip r:embed="rId11"/>
                    <a:stretch>
                      <a:fillRect/>
                    </a:stretch>
                  </pic:blipFill>
                  <pic:spPr>
                    <a:xfrm>
                      <a:off x="0" y="0"/>
                      <a:ext cx="5040000" cy="2772000"/>
                    </a:xfrm>
                    <a:prstGeom prst="rect"/>
                  </pic:spPr>
                </pic:pic>
              </a:graphicData>
            </a:graphic>
          </wp:inline>
        </w:drawing>
      </w:r>
    </w:p>
    <w:p>
      <w:pPr>
        <w:spacing w:after="240"/>
      </w:pPr>
      <w:r>
        <w:rPr>
          <w:i/>
          <w:sz w:val="19"/>
        </w:rPr>
        <w:t xml:space="preserve">Anmerkung. </w:t>
      </w:r>
      <w:r>
        <w:rPr>
          <w:sz w:val="19"/>
        </w:rPr>
        <w:t>Eigene Darstellung. Daten aus Tabelle 4 der Aufgabenstellung (ZHAW SML, 2026).</w:t>
      </w:r>
    </w:p>
    <w:p>
      <w:pPr>
        <w:keepNext w:val="0"/>
      </w:pPr>
      <w:r>
        <w:rPr>
          <w:i w:val="0"/>
        </w:rPr>
        <w:t>Abbildung 4 fasst beides je Fachbereich zusammen: Je höher der Frauenanteil unter den Bewerbungen, desto tiefer die Zulassungsquote des Fachbereichs (Korrelation r = −0.79).</w:t>
      </w:r>
    </w:p>
    <w:p>
      <w:pPr>
        <w:keepNext/>
        <w:spacing w:after="0"/>
      </w:pPr>
      <w:r>
        <w:rPr>
          <w:b/>
        </w:rPr>
        <w:t>Abbildung 4</w:t>
      </w:r>
    </w:p>
    <w:p>
      <w:pPr>
        <w:keepNext/>
      </w:pPr>
      <w:r>
        <w:rPr>
          <w:i/>
        </w:rPr>
        <w:t>Frauenanteil und Zulassungsquote je Fachbereich</w:t>
      </w:r>
    </w:p>
    <w:p>
      <w:pPr>
        <w:keepNext/>
        <w:jc w:val="center"/>
      </w:pPr>
      <w:r>
        <w:drawing>
          <wp:inline xmlns:a="http://schemas.openxmlformats.org/drawingml/2006/main" xmlns:pic="http://schemas.openxmlformats.org/drawingml/2006/picture">
            <wp:extent cx="4500000" cy="2957143"/>
            <wp:docPr id="4" name="Picture 4"/>
            <wp:cNvGraphicFramePr>
              <a:graphicFrameLocks noChangeAspect="1"/>
            </wp:cNvGraphicFramePr>
            <a:graphic>
              <a:graphicData uri="http://schemas.openxmlformats.org/drawingml/2006/picture">
                <pic:pic>
                  <pic:nvPicPr>
                    <pic:cNvPr id="0" name="abb4_selektivitaet.png"/>
                    <pic:cNvPicPr/>
                  </pic:nvPicPr>
                  <pic:blipFill>
                    <a:blip r:embed="rId12"/>
                    <a:stretch>
                      <a:fillRect/>
                    </a:stretch>
                  </pic:blipFill>
                  <pic:spPr>
                    <a:xfrm>
                      <a:off x="0" y="0"/>
                      <a:ext cx="4500000" cy="2957143"/>
                    </a:xfrm>
                    <a:prstGeom prst="rect"/>
                  </pic:spPr>
                </pic:pic>
              </a:graphicData>
            </a:graphic>
          </wp:inline>
        </w:drawing>
      </w:r>
    </w:p>
    <w:p>
      <w:pPr>
        <w:spacing w:after="240"/>
      </w:pPr>
      <w:r>
        <w:rPr>
          <w:i/>
          <w:sz w:val="19"/>
        </w:rPr>
        <w:t xml:space="preserve">Anmerkung. </w:t>
      </w:r>
      <w:r>
        <w:rPr>
          <w:sz w:val="19"/>
        </w:rPr>
        <w:t>Eigene Darstellung. Die Punktfläche ist proportional zur Anzahl Bewerbungen. Daten aus Bickel et al. (1975) bzw. R Core Team (o. J.).</w:t>
      </w:r>
    </w:p>
    <w:p>
      <w:pPr>
        <w:pStyle w:val="Heading2"/>
      </w:pPr>
      <w:r>
        <w:t>6.3  Erklärung mit dem Satz der totalen Wahrscheinlichkeit</w:t>
      </w:r>
    </w:p>
    <w:p>
      <w:pPr>
        <w:keepNext w:val="0"/>
      </w:pPr>
      <w:r>
        <w:rPr>
          <w:i w:val="0"/>
        </w:rPr>
        <w:t>Nach Abschnitt 3.3 ist die Gesamtquote ein gewichteter Mittelwert der Fachbereichsquoten. Die Frauen haben ihre grossen Gewichte bei den tiefen Quoten, die Männer bei den hohen. Um den Einfluss der Fachbereichswahl auszuschalten, setzen wir für beide Geschlechter dieselben Gewichte ein, nämlich die Verteilung aller 4 526 Bewerbungen auf die Fachbereiche. Technisch ist das derselbe Aufruf der Funktion gesamtquote, nur mit anderen Gewichten. Ergebnis (Abbildung 5): Bei gleicher Fachbereichswahl läge die Quote der Frauen bei 43.0 % und die der Männer bei 38.7 %. Der Unterschied kehrt sich also um.</w:t>
      </w:r>
    </w:p>
    <w:p>
      <w:pPr>
        <w:keepNext/>
        <w:spacing w:after="0"/>
      </w:pPr>
      <w:r>
        <w:rPr>
          <w:b/>
        </w:rPr>
        <w:t>Abbildung 5</w:t>
      </w:r>
    </w:p>
    <w:p>
      <w:pPr>
        <w:keepNext/>
      </w:pPr>
      <w:r>
        <w:rPr>
          <w:i/>
        </w:rPr>
        <w:t>Tatsächliche und standardisierte Zulassungsquoten</w:t>
      </w:r>
    </w:p>
    <w:p>
      <w:pPr>
        <w:keepNext/>
        <w:jc w:val="center"/>
      </w:pPr>
      <w:r>
        <w:drawing>
          <wp:inline xmlns:a="http://schemas.openxmlformats.org/drawingml/2006/main" xmlns:pic="http://schemas.openxmlformats.org/drawingml/2006/picture">
            <wp:extent cx="4140000" cy="2484000"/>
            <wp:docPr id="5" name="Picture 5"/>
            <wp:cNvGraphicFramePr>
              <a:graphicFrameLocks noChangeAspect="1"/>
            </wp:cNvGraphicFramePr>
            <a:graphic>
              <a:graphicData uri="http://schemas.openxmlformats.org/drawingml/2006/picture">
                <pic:pic>
                  <pic:nvPicPr>
                    <pic:cNvPr id="0" name="abb5_standardisiert.png"/>
                    <pic:cNvPicPr/>
                  </pic:nvPicPr>
                  <pic:blipFill>
                    <a:blip r:embed="rId13"/>
                    <a:stretch>
                      <a:fillRect/>
                    </a:stretch>
                  </pic:blipFill>
                  <pic:spPr>
                    <a:xfrm>
                      <a:off x="0" y="0"/>
                      <a:ext cx="4140000" cy="2484000"/>
                    </a:xfrm>
                    <a:prstGeom prst="rect"/>
                  </pic:spPr>
                </pic:pic>
              </a:graphicData>
            </a:graphic>
          </wp:inline>
        </w:drawing>
      </w:r>
    </w:p>
    <w:p>
      <w:pPr>
        <w:spacing w:after="240"/>
      </w:pPr>
      <w:r>
        <w:rPr>
          <w:i/>
          <w:sz w:val="19"/>
        </w:rPr>
        <w:t xml:space="preserve">Anmerkung. </w:t>
      </w:r>
      <w:r>
        <w:rPr>
          <w:sz w:val="19"/>
        </w:rPr>
        <w:t>Eigene Darstellung und Berechnung. «Bei gleicher Fachbereichswahl»: Fachbereichsquoten beider Geschlechter gewichtet mit der Verteilung aller Bewerbungen. Daten aus Bickel et al. (1975) bzw. R Core Team (o. J.).</w:t>
      </w:r>
    </w:p>
    <w:p>
      <w:pPr>
        <w:pStyle w:val="Heading2"/>
      </w:pPr>
      <w:r>
        <w:t>6.4  Prüfung der stochastischen Unabhängigkeit</w:t>
      </w:r>
    </w:p>
    <w:p>
      <w:pPr>
        <w:keepNext/>
        <w:spacing w:after="0"/>
      </w:pPr>
      <w:r>
        <w:rPr>
          <w:b/>
        </w:rPr>
        <w:t>Tabelle 2</w:t>
      </w:r>
    </w:p>
    <w:p>
      <w:pPr>
        <w:keepNext/>
      </w:pPr>
      <w:r>
        <w:rPr>
          <w:i/>
        </w:rPr>
        <w:t>Kreuztabelle der Bewerbungen über alle sechs Fachbereiche</w:t>
      </w:r>
    </w:p>
    <w:tbl>
      <w:tblPr>
        <w:tblStyle w:val="LightGrid-Accent1"/>
        <w:tblW w:type="auto" w:w="0"/>
        <w:tblLayout w:type="fixed"/>
        <w:tblLook w:firstColumn="1" w:firstRow="1" w:lastColumn="0" w:lastRow="0" w:noHBand="0" w:noVBand="1" w:val="04A0"/>
      </w:tblPr>
      <w:tblGrid>
        <w:gridCol w:w="1928"/>
        <w:gridCol w:w="2381"/>
        <w:gridCol w:w="2381"/>
        <w:gridCol w:w="2381"/>
      </w:tblGrid>
      <w:tr>
        <w:tc>
          <w:tcPr>
            <w:tcW w:type="dxa" w:w="1928"/>
          </w:tcPr>
          <w:p>
            <w:pPr>
              <w:keepNext/>
            </w:pPr>
            <w:r>
              <w:rPr>
                <w:sz w:val="19"/>
              </w:rPr>
            </w:r>
          </w:p>
        </w:tc>
        <w:tc>
          <w:tcPr>
            <w:tcW w:type="dxa" w:w="2381"/>
          </w:tcPr>
          <w:p>
            <w:pPr>
              <w:keepNext/>
            </w:pPr>
            <w:r>
              <w:rPr>
                <w:sz w:val="19"/>
              </w:rPr>
              <w:t>zugelassen</w:t>
            </w:r>
          </w:p>
        </w:tc>
        <w:tc>
          <w:tcPr>
            <w:tcW w:type="dxa" w:w="2381"/>
          </w:tcPr>
          <w:p>
            <w:pPr>
              <w:keepNext/>
            </w:pPr>
            <w:r>
              <w:rPr>
                <w:sz w:val="19"/>
              </w:rPr>
              <w:t>abgelehnt</w:t>
            </w:r>
          </w:p>
        </w:tc>
        <w:tc>
          <w:tcPr>
            <w:tcW w:type="dxa" w:w="2381"/>
          </w:tcPr>
          <w:p>
            <w:pPr>
              <w:keepNext/>
            </w:pPr>
            <w:r>
              <w:rPr>
                <w:sz w:val="19"/>
              </w:rPr>
              <w:t>Total</w:t>
            </w:r>
          </w:p>
        </w:tc>
      </w:tr>
      <w:tr>
        <w:tc>
          <w:tcPr>
            <w:tcW w:type="dxa" w:w="1928"/>
          </w:tcPr>
          <w:p>
            <w:pPr>
              <w:keepNext/>
            </w:pPr>
            <w:r>
              <w:rPr>
                <w:sz w:val="19"/>
              </w:rPr>
              <w:t>Frauen</w:t>
            </w:r>
          </w:p>
        </w:tc>
        <w:tc>
          <w:tcPr>
            <w:tcW w:type="dxa" w:w="2381"/>
          </w:tcPr>
          <w:p>
            <w:pPr>
              <w:keepNext/>
            </w:pPr>
            <w:r>
              <w:rPr>
                <w:sz w:val="19"/>
              </w:rPr>
              <w:t>557</w:t>
            </w:r>
          </w:p>
        </w:tc>
        <w:tc>
          <w:tcPr>
            <w:tcW w:type="dxa" w:w="2381"/>
          </w:tcPr>
          <w:p>
            <w:pPr>
              <w:keepNext/>
            </w:pPr>
            <w:r>
              <w:rPr>
                <w:sz w:val="19"/>
              </w:rPr>
              <w:t>1 278</w:t>
            </w:r>
          </w:p>
        </w:tc>
        <w:tc>
          <w:tcPr>
            <w:tcW w:type="dxa" w:w="2381"/>
          </w:tcPr>
          <w:p>
            <w:pPr>
              <w:keepNext/>
            </w:pPr>
            <w:r>
              <w:rPr>
                <w:sz w:val="19"/>
              </w:rPr>
              <w:t>1 835</w:t>
            </w:r>
          </w:p>
        </w:tc>
      </w:tr>
      <w:tr>
        <w:tc>
          <w:tcPr>
            <w:tcW w:type="dxa" w:w="1928"/>
          </w:tcPr>
          <w:p>
            <w:pPr>
              <w:keepNext/>
            </w:pPr>
            <w:r>
              <w:rPr>
                <w:sz w:val="19"/>
              </w:rPr>
              <w:t>Männer</w:t>
            </w:r>
          </w:p>
        </w:tc>
        <w:tc>
          <w:tcPr>
            <w:tcW w:type="dxa" w:w="2381"/>
          </w:tcPr>
          <w:p>
            <w:pPr>
              <w:keepNext/>
            </w:pPr>
            <w:r>
              <w:rPr>
                <w:sz w:val="19"/>
              </w:rPr>
              <w:t>1 198</w:t>
            </w:r>
          </w:p>
        </w:tc>
        <w:tc>
          <w:tcPr>
            <w:tcW w:type="dxa" w:w="2381"/>
          </w:tcPr>
          <w:p>
            <w:pPr>
              <w:keepNext/>
            </w:pPr>
            <w:r>
              <w:rPr>
                <w:sz w:val="19"/>
              </w:rPr>
              <w:t>1 493</w:t>
            </w:r>
          </w:p>
        </w:tc>
        <w:tc>
          <w:tcPr>
            <w:tcW w:type="dxa" w:w="2381"/>
          </w:tcPr>
          <w:p>
            <w:pPr>
              <w:keepNext/>
            </w:pPr>
            <w:r>
              <w:rPr>
                <w:sz w:val="19"/>
              </w:rPr>
              <w:t>2 691</w:t>
            </w:r>
          </w:p>
        </w:tc>
      </w:tr>
      <w:tr>
        <w:tc>
          <w:tcPr>
            <w:tcW w:type="dxa" w:w="1928"/>
          </w:tcPr>
          <w:p>
            <w:pPr>
              <w:keepNext/>
            </w:pPr>
            <w:r>
              <w:rPr>
                <w:sz w:val="19"/>
              </w:rPr>
              <w:t>Total</w:t>
            </w:r>
          </w:p>
        </w:tc>
        <w:tc>
          <w:tcPr>
            <w:tcW w:type="dxa" w:w="2381"/>
          </w:tcPr>
          <w:p>
            <w:pPr>
              <w:keepNext/>
            </w:pPr>
            <w:r>
              <w:rPr>
                <w:sz w:val="19"/>
              </w:rPr>
              <w:t>1 755</w:t>
            </w:r>
          </w:p>
        </w:tc>
        <w:tc>
          <w:tcPr>
            <w:tcW w:type="dxa" w:w="2381"/>
          </w:tcPr>
          <w:p>
            <w:pPr>
              <w:keepNext/>
            </w:pPr>
            <w:r>
              <w:rPr>
                <w:sz w:val="19"/>
              </w:rPr>
              <w:t>2 771</w:t>
            </w:r>
          </w:p>
        </w:tc>
        <w:tc>
          <w:tcPr>
            <w:tcW w:type="dxa" w:w="2381"/>
          </w:tcPr>
          <w:p>
            <w:pPr>
              <w:keepNext/>
            </w:pPr>
            <w:r>
              <w:rPr>
                <w:sz w:val="19"/>
              </w:rPr>
              <w:t>4 526</w:t>
            </w:r>
          </w:p>
        </w:tc>
      </w:tr>
    </w:tbl>
    <w:p>
      <w:pPr>
        <w:spacing w:after="240"/>
      </w:pPr>
      <w:r>
        <w:rPr>
          <w:i/>
          <w:sz w:val="19"/>
        </w:rPr>
        <w:t xml:space="preserve">Anmerkung. </w:t>
      </w:r>
      <w:r>
        <w:rPr>
          <w:sz w:val="19"/>
        </w:rPr>
        <w:t>Daten aus Bickel et al. (1975) bzw. R Core Team (o. J.).</w:t>
      </w:r>
    </w:p>
    <w:p>
      <w:pPr>
        <w:keepNext w:val="0"/>
      </w:pPr>
      <w:r>
        <w:rPr>
          <w:i w:val="0"/>
        </w:rPr>
        <w:t xml:space="preserve">Aus Tabelle 2 folgt </w:t>
      </w:r>
      <w:r>
        <w:rPr>
          <w:i/>
        </w:rPr>
        <w:t>P</w:t>
      </w:r>
      <w:r>
        <w:rPr>
          <w:i w:val="0"/>
        </w:rPr>
        <w:t>(</w:t>
      </w:r>
      <w:r>
        <w:rPr>
          <w:i/>
        </w:rPr>
        <w:t>Z</w:t>
      </w:r>
      <w:r>
        <w:rPr>
          <w:i w:val="0"/>
        </w:rPr>
        <w:t xml:space="preserve">) = 1 755 / 4 526 = 0.3878 und </w:t>
      </w:r>
      <w:r>
        <w:rPr>
          <w:i/>
        </w:rPr>
        <w:t>P</w:t>
      </w:r>
      <w:r>
        <w:rPr>
          <w:i w:val="0"/>
        </w:rPr>
        <w:t>(</w:t>
      </w:r>
      <w:r>
        <w:rPr>
          <w:i/>
        </w:rPr>
        <w:t>W</w:t>
      </w:r>
      <w:r>
        <w:rPr>
          <w:i w:val="0"/>
        </w:rPr>
        <w:t xml:space="preserve">) = 1 835 / 4 526 = 0.4054. Bei Unabhängigkeit müsste </w:t>
      </w:r>
      <w:r>
        <w:rPr>
          <w:i/>
        </w:rPr>
        <w:t>P</w:t>
      </w:r>
      <w:r>
        <w:rPr>
          <w:i w:val="0"/>
        </w:rPr>
        <w:t>(</w:t>
      </w:r>
      <w:r>
        <w:rPr>
          <w:i/>
        </w:rPr>
        <w:t>Z</w:t>
      </w:r>
      <w:r>
        <w:rPr>
          <w:i w:val="0"/>
        </w:rPr>
        <w:t xml:space="preserve"> ∩ </w:t>
      </w:r>
      <w:r>
        <w:rPr>
          <w:i/>
        </w:rPr>
        <w:t>W</w:t>
      </w:r>
      <w:r>
        <w:rPr>
          <w:i w:val="0"/>
        </w:rPr>
        <w:t xml:space="preserve">) = </w:t>
      </w:r>
      <w:r>
        <w:rPr>
          <w:i/>
        </w:rPr>
        <w:t>P</w:t>
      </w:r>
      <w:r>
        <w:rPr>
          <w:i w:val="0"/>
        </w:rPr>
        <w:t>(</w:t>
      </w:r>
      <w:r>
        <w:rPr>
          <w:i/>
        </w:rPr>
        <w:t>Z</w:t>
      </w:r>
      <w:r>
        <w:rPr>
          <w:i w:val="0"/>
        </w:rPr>
        <w:t xml:space="preserve">) · </w:t>
      </w:r>
      <w:r>
        <w:rPr>
          <w:i/>
        </w:rPr>
        <w:t>P</w:t>
      </w:r>
      <w:r>
        <w:rPr>
          <w:i w:val="0"/>
        </w:rPr>
        <w:t>(</w:t>
      </w:r>
      <w:r>
        <w:rPr>
          <w:i/>
        </w:rPr>
        <w:t>W</w:t>
      </w:r>
      <w:r>
        <w:rPr>
          <w:i w:val="0"/>
        </w:rPr>
        <w:t xml:space="preserve">) = 0.1572 gelten. Beobachtet wird jedoch </w:t>
      </w:r>
      <w:r>
        <w:rPr>
          <w:i/>
        </w:rPr>
        <w:t>P</w:t>
      </w:r>
      <w:r>
        <w:rPr>
          <w:i w:val="0"/>
        </w:rPr>
        <w:t>(</w:t>
      </w:r>
      <w:r>
        <w:rPr>
          <w:i/>
        </w:rPr>
        <w:t>Z</w:t>
      </w:r>
      <w:r>
        <w:rPr>
          <w:i w:val="0"/>
        </w:rPr>
        <w:t xml:space="preserve"> ∩ </w:t>
      </w:r>
      <w:r>
        <w:rPr>
          <w:i/>
        </w:rPr>
        <w:t>W</w:t>
      </w:r>
      <w:r>
        <w:rPr>
          <w:i w:val="0"/>
        </w:rPr>
        <w:t xml:space="preserve">) = 557 / 4 526 = 0.1231, also rund 22 % weniger. Entsprechend ist </w:t>
      </w:r>
      <w:r>
        <w:rPr>
          <w:i/>
        </w:rPr>
        <w:t>P</w:t>
      </w:r>
      <w:r>
        <w:rPr>
          <w:i w:val="0"/>
        </w:rPr>
        <w:t>(</w:t>
      </w:r>
      <w:r>
        <w:rPr>
          <w:i/>
        </w:rPr>
        <w:t>Z</w:t>
      </w:r>
      <w:r>
        <w:rPr>
          <w:i w:val="0"/>
        </w:rPr>
        <w:t xml:space="preserve"> | </w:t>
      </w:r>
      <w:r>
        <w:rPr>
          <w:i/>
        </w:rPr>
        <w:t>W</w:t>
      </w:r>
      <w:r>
        <w:rPr>
          <w:i w:val="0"/>
        </w:rPr>
        <w:t xml:space="preserve">) = 0.304 deutlich kleiner als </w:t>
      </w:r>
      <w:r>
        <w:rPr>
          <w:i/>
        </w:rPr>
        <w:t>P</w:t>
      </w:r>
      <w:r>
        <w:rPr>
          <w:i w:val="0"/>
        </w:rPr>
        <w:t>(</w:t>
      </w:r>
      <w:r>
        <w:rPr>
          <w:i/>
        </w:rPr>
        <w:t>Z</w:t>
      </w:r>
      <w:r>
        <w:rPr>
          <w:i w:val="0"/>
        </w:rPr>
        <w:t>) = 0.388. Über alle Fachbereiche zusammen sind Zulassung und Geschlecht damit stochastisch abhängig.</w:t>
      </w:r>
    </w:p>
    <w:p>
      <w:pPr>
        <w:keepNext w:val="0"/>
      </w:pPr>
      <w:r>
        <w:rPr>
          <w:i w:val="0"/>
        </w:rPr>
        <w:t>Tabelle 3 zeigt dieselbe Prüfung innerhalb jedes Fachbereichs, also die Unabhängigkeit gegeben den Fachbereich.</w:t>
      </w:r>
    </w:p>
    <w:p>
      <w:pPr>
        <w:keepNext/>
        <w:spacing w:after="0"/>
      </w:pPr>
      <w:r>
        <w:rPr>
          <w:b/>
        </w:rPr>
        <w:t>Tabelle 3</w:t>
      </w:r>
    </w:p>
    <w:p>
      <w:pPr>
        <w:keepNext/>
      </w:pPr>
      <w:r>
        <w:rPr>
          <w:i/>
        </w:rPr>
        <w:t>Stochastische Unabhängigkeit je Fachbereich</w:t>
      </w:r>
    </w:p>
    <w:tbl>
      <w:tblPr>
        <w:tblStyle w:val="LightGrid-Accent1"/>
        <w:tblW w:type="auto" w:w="0"/>
        <w:tblLayout w:type="fixed"/>
        <w:tblLook w:firstColumn="1" w:firstRow="1" w:lastColumn="0" w:lastRow="0" w:noHBand="0" w:noVBand="1" w:val="04A0"/>
      </w:tblPr>
      <w:tblGrid>
        <w:gridCol w:w="794"/>
        <w:gridCol w:w="737"/>
        <w:gridCol w:w="1077"/>
        <w:gridCol w:w="1020"/>
        <w:gridCol w:w="1020"/>
        <w:gridCol w:w="1587"/>
        <w:gridCol w:w="1247"/>
        <w:gridCol w:w="1587"/>
      </w:tblGrid>
      <w:tr>
        <w:tc>
          <w:tcPr>
            <w:tcW w:type="dxa" w:w="794"/>
          </w:tcPr>
          <w:p>
            <w:pPr>
              <w:keepNext/>
            </w:pPr>
            <w:r>
              <w:rPr>
                <w:sz w:val="19"/>
              </w:rPr>
              <w:t>FB</w:t>
            </w:r>
          </w:p>
        </w:tc>
        <w:tc>
          <w:tcPr>
            <w:tcW w:type="dxa" w:w="737"/>
          </w:tcPr>
          <w:p>
            <w:pPr>
              <w:keepNext/>
            </w:pPr>
            <w:r>
              <w:rPr>
                <w:sz w:val="19"/>
              </w:rPr>
              <w:t>n</w:t>
            </w:r>
          </w:p>
        </w:tc>
        <w:tc>
          <w:tcPr>
            <w:tcW w:type="dxa" w:w="1077"/>
          </w:tcPr>
          <w:p>
            <w:pPr>
              <w:keepNext/>
            </w:pPr>
            <w:r>
              <w:rPr>
                <w:sz w:val="19"/>
              </w:rPr>
              <w:t>davon Frauen</w:t>
            </w:r>
          </w:p>
        </w:tc>
        <w:tc>
          <w:tcPr>
            <w:tcW w:type="dxa" w:w="1020"/>
          </w:tcPr>
          <w:p>
            <w:pPr>
              <w:keepNext/>
            </w:pPr>
            <w:r>
              <w:rPr>
                <w:sz w:val="19"/>
              </w:rPr>
              <w:t>P(Z|W)</w:t>
            </w:r>
          </w:p>
        </w:tc>
        <w:tc>
          <w:tcPr>
            <w:tcW w:type="dxa" w:w="1020"/>
          </w:tcPr>
          <w:p>
            <w:pPr>
              <w:keepNext/>
            </w:pPr>
            <w:r>
              <w:rPr>
                <w:sz w:val="19"/>
              </w:rPr>
              <w:t>P(Z|M)</w:t>
            </w:r>
          </w:p>
        </w:tc>
        <w:tc>
          <w:tcPr>
            <w:tcW w:type="dxa" w:w="1587"/>
          </w:tcPr>
          <w:p>
            <w:pPr>
              <w:keepNext/>
            </w:pPr>
            <w:r>
              <w:rPr>
                <w:sz w:val="19"/>
              </w:rPr>
              <w:t>Differenz (PP)</w:t>
            </w:r>
          </w:p>
        </w:tc>
        <w:tc>
          <w:tcPr>
            <w:tcW w:type="dxa" w:w="1247"/>
          </w:tcPr>
          <w:p>
            <w:pPr>
              <w:keepNext/>
            </w:pPr>
            <w:r>
              <w:rPr>
                <w:sz w:val="19"/>
              </w:rPr>
              <w:t>P(Z∩W)</w:t>
            </w:r>
          </w:p>
        </w:tc>
        <w:tc>
          <w:tcPr>
            <w:tcW w:type="dxa" w:w="1587"/>
          </w:tcPr>
          <w:p>
            <w:pPr>
              <w:keepNext/>
            </w:pPr>
            <w:r>
              <w:rPr>
                <w:sz w:val="19"/>
              </w:rPr>
              <w:t>P(Z)·P(W)</w:t>
            </w:r>
          </w:p>
        </w:tc>
      </w:tr>
      <w:tr>
        <w:tc>
          <w:tcPr>
            <w:tcW w:type="dxa" w:w="794"/>
          </w:tcPr>
          <w:p>
            <w:pPr>
              <w:keepNext/>
            </w:pPr>
            <w:r>
              <w:rPr>
                <w:sz w:val="19"/>
              </w:rPr>
              <w:t>FB A</w:t>
            </w:r>
          </w:p>
        </w:tc>
        <w:tc>
          <w:tcPr>
            <w:tcW w:type="dxa" w:w="737"/>
          </w:tcPr>
          <w:p>
            <w:pPr>
              <w:keepNext/>
            </w:pPr>
            <w:r>
              <w:rPr>
                <w:sz w:val="19"/>
              </w:rPr>
              <w:t>933</w:t>
            </w:r>
          </w:p>
        </w:tc>
        <w:tc>
          <w:tcPr>
            <w:tcW w:type="dxa" w:w="1077"/>
          </w:tcPr>
          <w:p>
            <w:pPr>
              <w:keepNext/>
            </w:pPr>
            <w:r>
              <w:rPr>
                <w:sz w:val="19"/>
              </w:rPr>
              <w:t>108</w:t>
            </w:r>
          </w:p>
        </w:tc>
        <w:tc>
          <w:tcPr>
            <w:tcW w:type="dxa" w:w="1020"/>
          </w:tcPr>
          <w:p>
            <w:pPr>
              <w:keepNext/>
            </w:pPr>
            <w:r>
              <w:rPr>
                <w:sz w:val="19"/>
              </w:rPr>
              <w:t>82.4 %</w:t>
            </w:r>
          </w:p>
        </w:tc>
        <w:tc>
          <w:tcPr>
            <w:tcW w:type="dxa" w:w="1020"/>
          </w:tcPr>
          <w:p>
            <w:pPr>
              <w:keepNext/>
            </w:pPr>
            <w:r>
              <w:rPr>
                <w:sz w:val="19"/>
              </w:rPr>
              <w:t>62.1 %</w:t>
            </w:r>
          </w:p>
        </w:tc>
        <w:tc>
          <w:tcPr>
            <w:tcW w:type="dxa" w:w="1587"/>
          </w:tcPr>
          <w:p>
            <w:pPr>
              <w:keepNext/>
            </w:pPr>
            <w:r>
              <w:rPr>
                <w:sz w:val="19"/>
              </w:rPr>
              <w:t>+20.3</w:t>
            </w:r>
          </w:p>
        </w:tc>
        <w:tc>
          <w:tcPr>
            <w:tcW w:type="dxa" w:w="1247"/>
          </w:tcPr>
          <w:p>
            <w:pPr>
              <w:keepNext/>
            </w:pPr>
            <w:r>
              <w:rPr>
                <w:sz w:val="19"/>
              </w:rPr>
              <w:t>0.0954</w:t>
            </w:r>
          </w:p>
        </w:tc>
        <w:tc>
          <w:tcPr>
            <w:tcW w:type="dxa" w:w="1587"/>
          </w:tcPr>
          <w:p>
            <w:pPr>
              <w:keepNext/>
            </w:pPr>
            <w:r>
              <w:rPr>
                <w:sz w:val="19"/>
              </w:rPr>
              <w:t>0.0746</w:t>
            </w:r>
          </w:p>
        </w:tc>
      </w:tr>
      <w:tr>
        <w:tc>
          <w:tcPr>
            <w:tcW w:type="dxa" w:w="794"/>
          </w:tcPr>
          <w:p>
            <w:pPr>
              <w:keepNext/>
            </w:pPr>
            <w:r>
              <w:rPr>
                <w:sz w:val="19"/>
              </w:rPr>
              <w:t>FB B</w:t>
            </w:r>
          </w:p>
        </w:tc>
        <w:tc>
          <w:tcPr>
            <w:tcW w:type="dxa" w:w="737"/>
          </w:tcPr>
          <w:p>
            <w:pPr>
              <w:keepNext/>
            </w:pPr>
            <w:r>
              <w:rPr>
                <w:sz w:val="19"/>
              </w:rPr>
              <w:t>585</w:t>
            </w:r>
          </w:p>
        </w:tc>
        <w:tc>
          <w:tcPr>
            <w:tcW w:type="dxa" w:w="1077"/>
          </w:tcPr>
          <w:p>
            <w:pPr>
              <w:keepNext/>
            </w:pPr>
            <w:r>
              <w:rPr>
                <w:sz w:val="19"/>
              </w:rPr>
              <w:t>25</w:t>
            </w:r>
          </w:p>
        </w:tc>
        <w:tc>
          <w:tcPr>
            <w:tcW w:type="dxa" w:w="1020"/>
          </w:tcPr>
          <w:p>
            <w:pPr>
              <w:keepNext/>
            </w:pPr>
            <w:r>
              <w:rPr>
                <w:sz w:val="19"/>
              </w:rPr>
              <w:t>68.0 %</w:t>
            </w:r>
          </w:p>
        </w:tc>
        <w:tc>
          <w:tcPr>
            <w:tcW w:type="dxa" w:w="1020"/>
          </w:tcPr>
          <w:p>
            <w:pPr>
              <w:keepNext/>
            </w:pPr>
            <w:r>
              <w:rPr>
                <w:sz w:val="19"/>
              </w:rPr>
              <w:t>63.0 %</w:t>
            </w:r>
          </w:p>
        </w:tc>
        <w:tc>
          <w:tcPr>
            <w:tcW w:type="dxa" w:w="1587"/>
          </w:tcPr>
          <w:p>
            <w:pPr>
              <w:keepNext/>
            </w:pPr>
            <w:r>
              <w:rPr>
                <w:sz w:val="19"/>
              </w:rPr>
              <w:t>+5.0</w:t>
            </w:r>
          </w:p>
        </w:tc>
        <w:tc>
          <w:tcPr>
            <w:tcW w:type="dxa" w:w="1247"/>
          </w:tcPr>
          <w:p>
            <w:pPr>
              <w:keepNext/>
            </w:pPr>
            <w:r>
              <w:rPr>
                <w:sz w:val="19"/>
              </w:rPr>
              <w:t>0.0291</w:t>
            </w:r>
          </w:p>
        </w:tc>
        <w:tc>
          <w:tcPr>
            <w:tcW w:type="dxa" w:w="1587"/>
          </w:tcPr>
          <w:p>
            <w:pPr>
              <w:keepNext/>
            </w:pPr>
            <w:r>
              <w:rPr>
                <w:sz w:val="19"/>
              </w:rPr>
              <w:t>0.0270</w:t>
            </w:r>
          </w:p>
        </w:tc>
      </w:tr>
      <w:tr>
        <w:tc>
          <w:tcPr>
            <w:tcW w:type="dxa" w:w="794"/>
          </w:tcPr>
          <w:p>
            <w:pPr>
              <w:keepNext/>
            </w:pPr>
            <w:r>
              <w:rPr>
                <w:sz w:val="19"/>
              </w:rPr>
              <w:t>FB C</w:t>
            </w:r>
          </w:p>
        </w:tc>
        <w:tc>
          <w:tcPr>
            <w:tcW w:type="dxa" w:w="737"/>
          </w:tcPr>
          <w:p>
            <w:pPr>
              <w:keepNext/>
            </w:pPr>
            <w:r>
              <w:rPr>
                <w:sz w:val="19"/>
              </w:rPr>
              <w:t>918</w:t>
            </w:r>
          </w:p>
        </w:tc>
        <w:tc>
          <w:tcPr>
            <w:tcW w:type="dxa" w:w="1077"/>
          </w:tcPr>
          <w:p>
            <w:pPr>
              <w:keepNext/>
            </w:pPr>
            <w:r>
              <w:rPr>
                <w:sz w:val="19"/>
              </w:rPr>
              <w:t>593</w:t>
            </w:r>
          </w:p>
        </w:tc>
        <w:tc>
          <w:tcPr>
            <w:tcW w:type="dxa" w:w="1020"/>
          </w:tcPr>
          <w:p>
            <w:pPr>
              <w:keepNext/>
            </w:pPr>
            <w:r>
              <w:rPr>
                <w:sz w:val="19"/>
              </w:rPr>
              <w:t>34.1 %</w:t>
            </w:r>
          </w:p>
        </w:tc>
        <w:tc>
          <w:tcPr>
            <w:tcW w:type="dxa" w:w="1020"/>
          </w:tcPr>
          <w:p>
            <w:pPr>
              <w:keepNext/>
            </w:pPr>
            <w:r>
              <w:rPr>
                <w:sz w:val="19"/>
              </w:rPr>
              <w:t>36.9 %</w:t>
            </w:r>
          </w:p>
        </w:tc>
        <w:tc>
          <w:tcPr>
            <w:tcW w:type="dxa" w:w="1587"/>
          </w:tcPr>
          <w:p>
            <w:pPr>
              <w:keepNext/>
            </w:pPr>
            <w:r>
              <w:rPr>
                <w:sz w:val="19"/>
              </w:rPr>
              <w:t>−2.9</w:t>
            </w:r>
          </w:p>
        </w:tc>
        <w:tc>
          <w:tcPr>
            <w:tcW w:type="dxa" w:w="1247"/>
          </w:tcPr>
          <w:p>
            <w:pPr>
              <w:keepNext/>
            </w:pPr>
            <w:r>
              <w:rPr>
                <w:sz w:val="19"/>
              </w:rPr>
              <w:t>0.2200</w:t>
            </w:r>
          </w:p>
        </w:tc>
        <w:tc>
          <w:tcPr>
            <w:tcW w:type="dxa" w:w="1587"/>
          </w:tcPr>
          <w:p>
            <w:pPr>
              <w:keepNext/>
            </w:pPr>
            <w:r>
              <w:rPr>
                <w:sz w:val="19"/>
              </w:rPr>
              <w:t>0.2266</w:t>
            </w:r>
          </w:p>
        </w:tc>
      </w:tr>
      <w:tr>
        <w:tc>
          <w:tcPr>
            <w:tcW w:type="dxa" w:w="794"/>
          </w:tcPr>
          <w:p>
            <w:pPr>
              <w:keepNext/>
            </w:pPr>
            <w:r>
              <w:rPr>
                <w:sz w:val="19"/>
              </w:rPr>
              <w:t>FB D</w:t>
            </w:r>
          </w:p>
        </w:tc>
        <w:tc>
          <w:tcPr>
            <w:tcW w:type="dxa" w:w="737"/>
          </w:tcPr>
          <w:p>
            <w:pPr>
              <w:keepNext/>
            </w:pPr>
            <w:r>
              <w:rPr>
                <w:sz w:val="19"/>
              </w:rPr>
              <w:t>792</w:t>
            </w:r>
          </w:p>
        </w:tc>
        <w:tc>
          <w:tcPr>
            <w:tcW w:type="dxa" w:w="1077"/>
          </w:tcPr>
          <w:p>
            <w:pPr>
              <w:keepNext/>
            </w:pPr>
            <w:r>
              <w:rPr>
                <w:sz w:val="19"/>
              </w:rPr>
              <w:t>375</w:t>
            </w:r>
          </w:p>
        </w:tc>
        <w:tc>
          <w:tcPr>
            <w:tcW w:type="dxa" w:w="1020"/>
          </w:tcPr>
          <w:p>
            <w:pPr>
              <w:keepNext/>
            </w:pPr>
            <w:r>
              <w:rPr>
                <w:sz w:val="19"/>
              </w:rPr>
              <w:t>34.9 %</w:t>
            </w:r>
          </w:p>
        </w:tc>
        <w:tc>
          <w:tcPr>
            <w:tcW w:type="dxa" w:w="1020"/>
          </w:tcPr>
          <w:p>
            <w:pPr>
              <w:keepNext/>
            </w:pPr>
            <w:r>
              <w:rPr>
                <w:sz w:val="19"/>
              </w:rPr>
              <w:t>33.1 %</w:t>
            </w:r>
          </w:p>
        </w:tc>
        <w:tc>
          <w:tcPr>
            <w:tcW w:type="dxa" w:w="1587"/>
          </w:tcPr>
          <w:p>
            <w:pPr>
              <w:keepNext/>
            </w:pPr>
            <w:r>
              <w:rPr>
                <w:sz w:val="19"/>
              </w:rPr>
              <w:t>+1.8</w:t>
            </w:r>
          </w:p>
        </w:tc>
        <w:tc>
          <w:tcPr>
            <w:tcW w:type="dxa" w:w="1247"/>
          </w:tcPr>
          <w:p>
            <w:pPr>
              <w:keepNext/>
            </w:pPr>
            <w:r>
              <w:rPr>
                <w:sz w:val="19"/>
              </w:rPr>
              <w:t>0.1654</w:t>
            </w:r>
          </w:p>
        </w:tc>
        <w:tc>
          <w:tcPr>
            <w:tcW w:type="dxa" w:w="1587"/>
          </w:tcPr>
          <w:p>
            <w:pPr>
              <w:keepNext/>
            </w:pPr>
            <w:r>
              <w:rPr>
                <w:sz w:val="19"/>
              </w:rPr>
              <w:t>0.1608</w:t>
            </w:r>
          </w:p>
        </w:tc>
      </w:tr>
      <w:tr>
        <w:tc>
          <w:tcPr>
            <w:tcW w:type="dxa" w:w="794"/>
          </w:tcPr>
          <w:p>
            <w:pPr>
              <w:keepNext/>
            </w:pPr>
            <w:r>
              <w:rPr>
                <w:sz w:val="19"/>
              </w:rPr>
              <w:t>FB E</w:t>
            </w:r>
          </w:p>
        </w:tc>
        <w:tc>
          <w:tcPr>
            <w:tcW w:type="dxa" w:w="737"/>
          </w:tcPr>
          <w:p>
            <w:pPr>
              <w:keepNext/>
            </w:pPr>
            <w:r>
              <w:rPr>
                <w:sz w:val="19"/>
              </w:rPr>
              <w:t>584</w:t>
            </w:r>
          </w:p>
        </w:tc>
        <w:tc>
          <w:tcPr>
            <w:tcW w:type="dxa" w:w="1077"/>
          </w:tcPr>
          <w:p>
            <w:pPr>
              <w:keepNext/>
            </w:pPr>
            <w:r>
              <w:rPr>
                <w:sz w:val="19"/>
              </w:rPr>
              <w:t>393</w:t>
            </w:r>
          </w:p>
        </w:tc>
        <w:tc>
          <w:tcPr>
            <w:tcW w:type="dxa" w:w="1020"/>
          </w:tcPr>
          <w:p>
            <w:pPr>
              <w:keepNext/>
            </w:pPr>
            <w:r>
              <w:rPr>
                <w:sz w:val="19"/>
              </w:rPr>
              <w:t>23.9 %</w:t>
            </w:r>
          </w:p>
        </w:tc>
        <w:tc>
          <w:tcPr>
            <w:tcW w:type="dxa" w:w="1020"/>
          </w:tcPr>
          <w:p>
            <w:pPr>
              <w:keepNext/>
            </w:pPr>
            <w:r>
              <w:rPr>
                <w:sz w:val="19"/>
              </w:rPr>
              <w:t>27.7 %</w:t>
            </w:r>
          </w:p>
        </w:tc>
        <w:tc>
          <w:tcPr>
            <w:tcW w:type="dxa" w:w="1587"/>
          </w:tcPr>
          <w:p>
            <w:pPr>
              <w:keepNext/>
            </w:pPr>
            <w:r>
              <w:rPr>
                <w:sz w:val="19"/>
              </w:rPr>
              <w:t>−3.8</w:t>
            </w:r>
          </w:p>
        </w:tc>
        <w:tc>
          <w:tcPr>
            <w:tcW w:type="dxa" w:w="1247"/>
          </w:tcPr>
          <w:p>
            <w:pPr>
              <w:keepNext/>
            </w:pPr>
            <w:r>
              <w:rPr>
                <w:sz w:val="19"/>
              </w:rPr>
              <w:t>0.1610</w:t>
            </w:r>
          </w:p>
        </w:tc>
        <w:tc>
          <w:tcPr>
            <w:tcW w:type="dxa" w:w="1587"/>
          </w:tcPr>
          <w:p>
            <w:pPr>
              <w:keepNext/>
            </w:pPr>
            <w:r>
              <w:rPr>
                <w:sz w:val="19"/>
              </w:rPr>
              <w:t>0.1694</w:t>
            </w:r>
          </w:p>
        </w:tc>
      </w:tr>
      <w:tr>
        <w:tc>
          <w:tcPr>
            <w:tcW w:type="dxa" w:w="794"/>
          </w:tcPr>
          <w:p>
            <w:pPr>
              <w:keepNext/>
            </w:pPr>
            <w:r>
              <w:rPr>
                <w:sz w:val="19"/>
              </w:rPr>
              <w:t>FB F</w:t>
            </w:r>
          </w:p>
        </w:tc>
        <w:tc>
          <w:tcPr>
            <w:tcW w:type="dxa" w:w="737"/>
          </w:tcPr>
          <w:p>
            <w:pPr>
              <w:keepNext/>
            </w:pPr>
            <w:r>
              <w:rPr>
                <w:sz w:val="19"/>
              </w:rPr>
              <w:t>714</w:t>
            </w:r>
          </w:p>
        </w:tc>
        <w:tc>
          <w:tcPr>
            <w:tcW w:type="dxa" w:w="1077"/>
          </w:tcPr>
          <w:p>
            <w:pPr>
              <w:keepNext/>
            </w:pPr>
            <w:r>
              <w:rPr>
                <w:sz w:val="19"/>
              </w:rPr>
              <w:t>341</w:t>
            </w:r>
          </w:p>
        </w:tc>
        <w:tc>
          <w:tcPr>
            <w:tcW w:type="dxa" w:w="1020"/>
          </w:tcPr>
          <w:p>
            <w:pPr>
              <w:keepNext/>
            </w:pPr>
            <w:r>
              <w:rPr>
                <w:sz w:val="19"/>
              </w:rPr>
              <w:t>7.0 %</w:t>
            </w:r>
          </w:p>
        </w:tc>
        <w:tc>
          <w:tcPr>
            <w:tcW w:type="dxa" w:w="1020"/>
          </w:tcPr>
          <w:p>
            <w:pPr>
              <w:keepNext/>
            </w:pPr>
            <w:r>
              <w:rPr>
                <w:sz w:val="19"/>
              </w:rPr>
              <w:t>5.9 %</w:t>
            </w:r>
          </w:p>
        </w:tc>
        <w:tc>
          <w:tcPr>
            <w:tcW w:type="dxa" w:w="1587"/>
          </w:tcPr>
          <w:p>
            <w:pPr>
              <w:keepNext/>
            </w:pPr>
            <w:r>
              <w:rPr>
                <w:sz w:val="19"/>
              </w:rPr>
              <w:t>+1.1</w:t>
            </w:r>
          </w:p>
        </w:tc>
        <w:tc>
          <w:tcPr>
            <w:tcW w:type="dxa" w:w="1247"/>
          </w:tcPr>
          <w:p>
            <w:pPr>
              <w:keepNext/>
            </w:pPr>
            <w:r>
              <w:rPr>
                <w:sz w:val="19"/>
              </w:rPr>
              <w:t>0.0336</w:t>
            </w:r>
          </w:p>
        </w:tc>
        <w:tc>
          <w:tcPr>
            <w:tcW w:type="dxa" w:w="1587"/>
          </w:tcPr>
          <w:p>
            <w:pPr>
              <w:keepNext/>
            </w:pPr>
            <w:r>
              <w:rPr>
                <w:sz w:val="19"/>
              </w:rPr>
              <w:t>0.0308</w:t>
            </w:r>
          </w:p>
        </w:tc>
      </w:tr>
    </w:tbl>
    <w:p>
      <w:pPr>
        <w:spacing w:after="240"/>
      </w:pPr>
      <w:r>
        <w:rPr>
          <w:i/>
          <w:sz w:val="19"/>
        </w:rPr>
        <w:t xml:space="preserve">Anmerkung. </w:t>
      </w:r>
      <w:r>
        <w:rPr>
          <w:sz w:val="19"/>
        </w:rPr>
        <w:t>Eigene Berechnung. PP = Prozentpunkte (Frauen minus Männer). Daten aus Bickel et al. (1975) bzw. R Core Team (o. J.).</w:t>
      </w:r>
    </w:p>
    <w:p>
      <w:pPr>
        <w:keepNext w:val="0"/>
      </w:pPr>
      <w:r>
        <w:rPr>
          <w:i w:val="0"/>
        </w:rPr>
        <w:t xml:space="preserve">In den Fachbereichen B bis F liegen </w:t>
      </w:r>
      <w:r>
        <w:rPr>
          <w:i/>
        </w:rPr>
        <w:t>P</w:t>
      </w:r>
      <w:r>
        <w:rPr>
          <w:i w:val="0"/>
        </w:rPr>
        <w:t>(</w:t>
      </w:r>
      <w:r>
        <w:rPr>
          <w:i/>
        </w:rPr>
        <w:t>Z</w:t>
      </w:r>
      <w:r>
        <w:rPr>
          <w:i w:val="0"/>
        </w:rPr>
        <w:t xml:space="preserve"> ∩ </w:t>
      </w:r>
      <w:r>
        <w:rPr>
          <w:i/>
        </w:rPr>
        <w:t>W</w:t>
      </w:r>
      <w:r>
        <w:rPr>
          <w:i w:val="0"/>
        </w:rPr>
        <w:t xml:space="preserve">) und </w:t>
      </w:r>
      <w:r>
        <w:rPr>
          <w:i/>
        </w:rPr>
        <w:t>P</w:t>
      </w:r>
      <w:r>
        <w:rPr>
          <w:i w:val="0"/>
        </w:rPr>
        <w:t>(</w:t>
      </w:r>
      <w:r>
        <w:rPr>
          <w:i/>
        </w:rPr>
        <w:t>Z</w:t>
      </w:r>
      <w:r>
        <w:rPr>
          <w:i w:val="0"/>
        </w:rPr>
        <w:t xml:space="preserve">) · </w:t>
      </w:r>
      <w:r>
        <w:rPr>
          <w:i/>
        </w:rPr>
        <w:t>P</w:t>
      </w:r>
      <w:r>
        <w:rPr>
          <w:i w:val="0"/>
        </w:rPr>
        <w:t>(</w:t>
      </w:r>
      <w:r>
        <w:rPr>
          <w:i/>
        </w:rPr>
        <w:t>W</w:t>
      </w:r>
      <w:r>
        <w:rPr>
          <w:i w:val="0"/>
        </w:rPr>
        <w:t>) nahe beieinander. Die Differenzen der Quoten betragen höchstens 5 Prozentpunkte und wechseln die Richtung: In B, D und F liegen die Frauen vorne, in C und E die Männer. Ein systematisches Muster ist nicht erkennbar; Zulassung und Geschlecht sind hier annähernd unabhängig. Die +5.0 Prozentpunkte in B beruhen zudem auf nur 25 Bewerbungen von Frauen. Einzig in Fachbereich A besteht ein deutlicher Unterschied, und zwar zugunsten der Frauen (82.4 % gegenüber 62.1 %).</w:t>
      </w:r>
    </w:p>
    <w:p>
      <w:pPr>
        <w:keepNext w:val="0"/>
      </w:pPr>
      <w:r>
        <w:rPr>
          <w:i w:val="0"/>
        </w:rPr>
        <w:t>Die Abhängigkeit über alle Fachbereiche entsteht also nicht innerhalb der Fachbereiche, sondern durch die Drittvariable Fachbereich: Das Geschlecht hängt mit der Wahl des Fachbereichs zusammen (Abbildung 3), und der Fachbereich hängt mit der Zulassungsquote zusammen (Abbildung 4). Genau diese Konstellation beschreibt das Simpson-Paradoxon (Simpson, 1951).</w:t>
      </w:r>
    </w:p>
    <w:p>
      <w:pPr>
        <w:pStyle w:val="Heading1"/>
      </w:pPr>
      <w:r>
        <w:t>7  Fazit, Grenzen und Ausblick</w:t>
      </w:r>
    </w:p>
    <w:p>
      <w:pPr>
        <w:keepNext w:val="0"/>
      </w:pPr>
      <w:r>
        <w:rPr>
          <w:i w:val="0"/>
        </w:rPr>
        <w:t>Die aggregierte Darstellung aus Aufgabe (b) legt eine klare Benachteiligung von Frauen nahe. Der Vergleich der Verteilungen in Aufgabe (c) zeigt jedoch, dass die Fachbereiche, die über die Zulassung entscheiden, Frauen nicht benachteiligten. Zulassung und Geschlecht sind insgesamt stochastisch abhängig, innerhalb der Fachbereiche aber annähernd unabhängig, mit Fachbereich A als Ausnahme zugunsten der Frauen. Der Unterschied entsteht dadurch, dass sich Frauen häufiger in stark umkämpften Fachbereichen mit tiefen Zulassungsquoten bewarben. Das bestätigt den Befund von Bickel et al. (1975).</w:t>
      </w:r>
    </w:p>
    <w:p>
      <w:pPr>
        <w:keepNext w:val="0"/>
      </w:pPr>
      <w:r>
        <w:rPr>
          <w:i w:val="0"/>
        </w:rPr>
        <w:t>Grenzen: Die Daten zeigen nicht, dass es keinerlei Ungleichbehandlung gab. Offen bleibt, warum sich Frauen vor allem in Fachbereichen mit wenigen Studienplätzen pro Bewerbung bewarben; dafür fehlen Informationen zu den Fachbereichen und zu den Bewerbenden, etwa zu ihrer Qualifikation. Zudem handelt es sich um Beobachtungsdaten eines einzigen Jahres. Unsere Beurteilung der Unabhängigkeit innerhalb der Fachbereiche ist beschreibend. Ob kleine Abweichungen wie in B bis F zufällig sind, liesse sich mit einem Hypothesentest prüfen; Hypothesentests werden im Kurs erst später behandelt (ZHAW SML, 2023).</w:t>
      </w:r>
    </w:p>
    <w:p>
      <w:pPr>
        <w:keepNext w:val="0"/>
      </w:pPr>
      <w:r>
        <w:rPr>
          <w:i w:val="0"/>
        </w:rPr>
        <w:t>Programmtechnisch hat sich die Kapselung in Funktionen bewährt: Dieselben Funktionen (kreuztabelle, pruefe_unabhaengigkeit, gesamtquote, gruppiertes_saeulendiagramm) dienen der Gesamtbetrachtung, der Analyse je Fachbereich und der Standardisierung. Der Code bleibt dadurch kurz, lesbar und für andere Datensätze wiederverwendbar.</w:t>
      </w:r>
    </w:p>
    <w:p>
      <w:r>
        <w:br w:type="page"/>
      </w:r>
    </w:p>
    <w:p>
      <w:pPr>
        <w:pStyle w:val="Heading1"/>
      </w:pPr>
      <w:r>
        <w:t>Literaturverzeichnis</w:t>
      </w:r>
    </w:p>
    <w:p>
      <w:pPr>
        <w:keepNext w:val="0"/>
        <w:ind w:left="720" w:hanging="720"/>
      </w:pPr>
      <w:r>
        <w:rPr>
          <w:i w:val="0"/>
        </w:rPr>
        <w:t xml:space="preserve">Bickel, P. J., Hammel, E. A., &amp; O'Connell, J. W. (1975). Sex bias in graduate admissions: Data from Berkeley. </w:t>
      </w:r>
      <w:r>
        <w:rPr>
          <w:i/>
        </w:rPr>
        <w:t>Science, 187</w:t>
      </w:r>
      <w:r>
        <w:rPr>
          <w:i w:val="0"/>
        </w:rPr>
        <w:t>(4175), 398–404. https://doi.org/10.1126/science.187.4175.398</w:t>
      </w:r>
    </w:p>
    <w:p>
      <w:pPr>
        <w:keepNext w:val="0"/>
        <w:ind w:left="720" w:hanging="720"/>
      </w:pPr>
      <w:r>
        <w:rPr>
          <w:i w:val="0"/>
        </w:rPr>
        <w:t xml:space="preserve">McKinney, W. (2018). </w:t>
      </w:r>
      <w:r>
        <w:rPr>
          <w:i/>
        </w:rPr>
        <w:t>Datenanalyse mit Python</w:t>
      </w:r>
      <w:r>
        <w:rPr>
          <w:i w:val="0"/>
        </w:rPr>
        <w:t xml:space="preserve"> (2., korrigierte Aufl.). O'Reilly.</w:t>
      </w:r>
    </w:p>
    <w:p>
      <w:pPr>
        <w:keepNext w:val="0"/>
        <w:ind w:left="720" w:hanging="720"/>
      </w:pPr>
      <w:r>
        <w:rPr>
          <w:i w:val="0"/>
        </w:rPr>
        <w:t xml:space="preserve">Newbold, P., Carlson, W. L., &amp; Thorne, B. M. (2013). </w:t>
      </w:r>
      <w:r>
        <w:rPr>
          <w:i/>
        </w:rPr>
        <w:t>Statistics for business and economics</w:t>
      </w:r>
      <w:r>
        <w:rPr>
          <w:i w:val="0"/>
        </w:rPr>
        <w:t xml:space="preserve"> (8. Aufl., Global Edition). Pearson.</w:t>
      </w:r>
    </w:p>
    <w:p>
      <w:pPr>
        <w:keepNext w:val="0"/>
        <w:ind w:left="720" w:hanging="720"/>
      </w:pPr>
      <w:r>
        <w:rPr>
          <w:i w:val="0"/>
        </w:rPr>
        <w:t xml:space="preserve">R Core Team. (o. J.). </w:t>
      </w:r>
      <w:r>
        <w:rPr>
          <w:i/>
        </w:rPr>
        <w:t>UCBAdmissions: Student admissions at UC Berkeley</w:t>
      </w:r>
      <w:r>
        <w:rPr>
          <w:i w:val="0"/>
        </w:rPr>
        <w:t xml:space="preserve"> [Datensatz]. R-Paket datasets. https://github.com/wch/r-source/blob/trunk/src/library/datasets/data/UCBAdmissions.R</w:t>
      </w:r>
    </w:p>
    <w:p>
      <w:pPr>
        <w:keepNext w:val="0"/>
        <w:ind w:left="720" w:hanging="720"/>
      </w:pPr>
      <w:r>
        <w:rPr>
          <w:i w:val="0"/>
        </w:rPr>
        <w:t xml:space="preserve">Schnauss, M. (o. J.-a). </w:t>
      </w:r>
      <w:r>
        <w:rPr>
          <w:i/>
        </w:rPr>
        <w:t>Statistik (w.BA.XX.2Stat-WIN.XX), Teil 1: Tabellen und Diagramme</w:t>
      </w:r>
      <w:r>
        <w:rPr>
          <w:i w:val="0"/>
        </w:rPr>
        <w:t xml:space="preserve"> [Vorlesungsfolien]. ZHAW School of Management and Law.</w:t>
      </w:r>
    </w:p>
    <w:p>
      <w:pPr>
        <w:keepNext w:val="0"/>
        <w:ind w:left="720" w:hanging="720"/>
      </w:pPr>
      <w:r>
        <w:rPr>
          <w:i w:val="0"/>
        </w:rPr>
        <w:t xml:space="preserve">Schnauss, M. (o. J.-b). </w:t>
      </w:r>
      <w:r>
        <w:rPr>
          <w:i/>
        </w:rPr>
        <w:t>Statistik (w.BA.XX.2Stat-WIN.XX), Teil 3: Wahrscheinlichkeitsrechnung</w:t>
      </w:r>
      <w:r>
        <w:rPr>
          <w:i w:val="0"/>
        </w:rPr>
        <w:t xml:space="preserve"> [Vorlesungsfolien]. ZHAW School of Management and Law.</w:t>
      </w:r>
    </w:p>
    <w:p>
      <w:pPr>
        <w:keepNext w:val="0"/>
        <w:ind w:left="720" w:hanging="720"/>
      </w:pPr>
      <w:r>
        <w:rPr>
          <w:i w:val="0"/>
        </w:rPr>
        <w:t xml:space="preserve">Simpson, E. H. (1951). The interpretation of interaction in contingency tables. </w:t>
      </w:r>
      <w:r>
        <w:rPr>
          <w:i/>
        </w:rPr>
        <w:t>Journal of the Royal Statistical Society: Series B (Methodological), 13</w:t>
      </w:r>
      <w:r>
        <w:rPr>
          <w:i w:val="0"/>
        </w:rPr>
        <w:t>(2), 238–241. https://doi.org/10.1111/j.2517-6161.1951.tb00088.x</w:t>
      </w:r>
    </w:p>
    <w:p>
      <w:pPr>
        <w:keepNext w:val="0"/>
        <w:ind w:left="720" w:hanging="720"/>
      </w:pPr>
      <w:r>
        <w:rPr>
          <w:i w:val="0"/>
        </w:rPr>
        <w:t xml:space="preserve">ZHAW School of Management and Law. (2019). </w:t>
      </w:r>
      <w:r>
        <w:rPr>
          <w:i/>
        </w:rPr>
        <w:t>Aufgabe 1 (Installation)</w:t>
      </w:r>
      <w:r>
        <w:rPr>
          <w:i w:val="0"/>
        </w:rPr>
        <w:t xml:space="preserve"> [Aufgabenblatt].</w:t>
      </w:r>
    </w:p>
    <w:p>
      <w:pPr>
        <w:keepNext w:val="0"/>
        <w:ind w:left="720" w:hanging="720"/>
      </w:pPr>
      <w:r>
        <w:rPr>
          <w:i w:val="0"/>
        </w:rPr>
        <w:t xml:space="preserve">ZHAW School of Management and Law. (2023). </w:t>
      </w:r>
      <w:r>
        <w:rPr>
          <w:i/>
        </w:rPr>
        <w:t>Semesterplan Statistik (w.BA.XX.2Stat.XX), HS 2023/24</w:t>
      </w:r>
      <w:r>
        <w:rPr>
          <w:i w:val="0"/>
        </w:rPr>
        <w:t xml:space="preserve"> [Semesterplan].</w:t>
      </w:r>
    </w:p>
    <w:p>
      <w:pPr>
        <w:keepNext w:val="0"/>
        <w:ind w:left="720" w:hanging="720"/>
      </w:pPr>
      <w:r>
        <w:rPr>
          <w:i w:val="0"/>
        </w:rPr>
        <w:t xml:space="preserve">ZHAW School of Management and Law. (2026). </w:t>
      </w:r>
      <w:r>
        <w:rPr>
          <w:i/>
        </w:rPr>
        <w:t>Aufgabe 4 (Vortrag-4: Python)</w:t>
      </w:r>
      <w:r>
        <w:rPr>
          <w:i w:val="0"/>
        </w:rPr>
        <w:t xml:space="preserve"> [Aufgabenblatt].</w:t>
      </w:r>
    </w:p>
    <w:p>
      <w:pPr>
        <w:pStyle w:val="Heading2"/>
      </w:pPr>
      <w:r>
        <w:t>Anhang</w:t>
      </w:r>
    </w:p>
    <w:p>
      <w:pPr>
        <w:keepNext w:val="0"/>
      </w:pPr>
      <w:r>
        <w:rPr>
          <w:i w:val="0"/>
        </w:rPr>
        <w:t>Jupyter-Notebook Vortrag4_Berkeley_Analyse.ipynb (vollständiger, kommentierter Python-Code mit allen Ausgaben und Abbildungen).</w:t>
      </w:r>
    </w:p>
    <w:sectPr w:rsidR="00FC693F" w:rsidRPr="0006063C" w:rsidSect="00034616">
      <w:footerReference w:type="default" r:id="rId14"/>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A5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A5F"/>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