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0B1F33"/>
          <w:sz w:val="40"/>
          <w:szCs w:val="40"/>
        </w:rPr>
        <w:t xml:space="preserve">OpsGate</w:t>
      </w:r>
    </w:p>
    <w:p>
      <w:pPr>
        <w:pBdr>
          <w:bottom w:val="single" w:color="0D9488" w:sz="12" w:space="8"/>
        </w:pBdr>
        <w:spacing w:after="200"/>
        <w:jc w:val="center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Guide utilisateur — V1 1.2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Public : administrateurs console, pilotes, support. Interface FR / EN.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Ce guide décrit l'usage quotidien : extension, console, enrôlement, policies, licences, logs, recovery, multi-admin et paramètres système.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1. Vue d'ensemble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Composant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Extension (Chrome MV3)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Détecte données sensibles sur sites IA, applique policy, journalise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API (control plane)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Enrôlement, sync, events, auth console, licences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Dashboard, policy, admins, agents, packs, events, audit, settings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Postgres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Stockage durable (recommandé pilote / prod)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Sans DATABASE_URL : store mémoire — données perdues au redémarrage.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Navigation console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Zone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Topbar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Toujours visible (Apply, Refresh, Déconnexion)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Nav gauche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Fixe ; ne défile pas avec le contenu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Zone principale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Seule zone qui défile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Bandeau API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Dans le contenu : passe sous la topbar au scroll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2. Première connexion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Démarrer API (+ Postgres si utilisé).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Ouvrir la console (ex. http://127.0.0.1:5173).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Se connecter avec l'email principal et le mot de passe d'installation.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Changer le mot de passe si demandé à la première connexion.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Échecs login &amp; verrouillage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Message type : « Invalid. Il vous reste N essai(s). ». Au-delà du seuil (Notifications), le compte est verrouillé. Un principal le déverrouille dans Admins &amp; groupes.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Session unique : « Forcer la déconnexion » si session concurrente. Idle 5 min → déconnexion auto.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3. Enrôlement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URL API + code organisation (ex. DEMO-OPSGATE).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Label appareil → Enrôler.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Policies gérées par l'org ; hors ligne = dernière policy reçue.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Poll config typiquement ≤ 2 min (ou Force sync console).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Désinscription : mdp admin si policy l'exige. Recovery concepteur : §11.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4. Tableau de bord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Licences, connexion, protection, activité des décisions, timeline 14 j, top règles, doublons. Clic sur un compteur → détail.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Étendre / Réduire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71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Étendre</w:t>
            </w:r>
          </w:p>
        </w:tc>
        <w:tc>
          <w:tcPr>
            <w:tcW w:type="dxa" w:w="71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Graphiques remplissent toute la zone de contenu (droite). Topbar + nav gauche intactes.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Réduire</w:t>
            </w:r>
          </w:p>
        </w:tc>
        <w:tc>
          <w:tcPr>
            <w:tcW w:type="dxa" w:w="71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Vue normale (hero, panneaux, décisions utilisateur).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Force sync : nouvel epoch pour agents online (≤ 2 min). Agent offline : non forçable.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5. Policy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Policy org (défaut)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Sites IA (catalogue + custom), action warn / mask_recommend / mask_force / block.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Scan fichiers joints, télémétrie events, protection désenrôlement.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Messages utilisateur personnalisables ; planning horaires.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Ligne ORG repliable → Modifier pour éditer.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Profils (départements)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Priorité type firewall : premier profil actif matchant un groupe. Activer/Désactiver sans supprimer. Assigner via groupes.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6. Admins &amp; groupes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Multi-admin + permissions ; plusieurs Principals (dernier non supprimable).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Modifier (soi ou principal) · Nouveau mdp · Déverrouiller · Suppr.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Groupes liés à un profil policy.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Recovery : pool codes one-time + Invalider le pool (purge totale).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7. Licences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Essai 30 jours dès création org.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Clé full courte OPS-XXXX-XXXX-XXXX-XXXX (legacy OG1. accepté).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Activer renseigne société / sièges / expiration (lecture seule).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Supprimer licence (principal) → retour essai.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Grâce agent sans siège : 24 h puis unlicensed.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Démo : clé sample seedée (ex. OPS-SMPL-ENTR-PRSE-TEST).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8. Packs de règles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Signatures poussées sans rebuild extension. Publier / Activer. Pack défaut assuré si absent (évite 404 sync).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9. Agents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Liste, force sync (online), révoquer, fusion doublons fingerprint depuis le dashboard.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10. Événements, audit &amp;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Décisions : mask_send, send_anyway, cancel, enroll, unenroll.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Pagination 10/50/100 ; export semaine / tout / période.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Rétention logs (défaut 90 j) + types cochables + archive hebdo optionnelle.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Audit admin : actions console, login, verrouillage…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11. Recovery concepteur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Pratique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Secret env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OPSGATE_VENDOR_RECOVERY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Pool one-time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Généré par le principal (Admins)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Offline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Typiquement ≥ 2 h avant recovery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Invalider pool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Efface tous les codes définitivement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12. Paramètres système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Onglet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Général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Langue FR/EN (nav + contenus onglets)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Logs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Rétention, archive, types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Licences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Essai / full, activer, supprimer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Expiration licence ; seuil brute-force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Monitoring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Seuils online/offline ; planning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Rapports</w:t>
            </w:r>
          </w:p>
        </w:tc>
        <w:tc>
          <w:tcPr>
            <w:tcW w:type="dxa" w:w="6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Export CSV / JSON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13. Support &amp; Help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contact@dailyops.tech — ticket avec code org, version, description. Help : dailyops.tech, guide, privacy. Raccourci / = focus recherche events.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14. Règles d'affectation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Label/hostname → groupe, conditions AND, priorité. Appliquées à l'enroll et via Ré-évaluer.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15. Données &amp;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2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Effet</w:t>
            </w:r>
          </w:p>
        </w:tc>
        <w:tc>
          <w:tcPr>
            <w:tcW w:type="dxa" w:w="32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B1F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Prévention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Sans DATABASE_URL</w:t>
            </w:r>
          </w:p>
        </w:tc>
        <w:tc>
          <w:tcPr>
            <w:tcW w:type="dxa" w:w="32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Memory store vide au restart</w:t>
            </w:r>
          </w:p>
        </w:tc>
        <w:tc>
          <w:tcPr>
            <w:tcW w:type="dxa" w:w="32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Postgres + URL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compose down -v</w:t>
            </w:r>
          </w:p>
        </w:tc>
        <w:tc>
          <w:tcPr>
            <w:tcW w:type="dxa" w:w="32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Volume détruit</w:t>
            </w:r>
          </w:p>
        </w:tc>
        <w:tc>
          <w:tcPr>
            <w:tcW w:type="dxa" w:w="32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Éviter -v en pilote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Rétention courte</w:t>
            </w:r>
          </w:p>
        </w:tc>
        <w:tc>
          <w:tcPr>
            <w:tcW w:type="dxa" w:w="32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Events purgés</w:t>
            </w:r>
          </w:p>
        </w:tc>
        <w:tc>
          <w:tcPr>
            <w:tcW w:type="dxa" w:w="328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B1F33"/>
                <w:sz w:val="18"/>
                <w:szCs w:val="18"/>
              </w:rPr>
              <w:t xml:space="preserve">Ajuster + exporter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Checklist : docker compose up -d ; DATABASE_URL=postgres://… ; pnpm api:dev ; pnpm console:dev. Log API : store=postgres.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16. Checklist admin quotidienne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Dashboard : unlicensed / offline / décisions risquées.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Policy &amp; packs à jour ; events &amp; exports.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Licences (jours restants) ; comptes admin verrouillés.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17. Docs liées</w:t>
      </w:r>
    </w:p>
    <w:p>
      <w:pPr>
        <w:spacing w:after="12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GUIDE-STACK-LOCALE · RECOVERY-CONCEPTEUR · RULE-PACKS · RUNBOOK-OPS · PRIVACY · ORG-CODE-AND-TENANT · SAMPLE-LICENSE.json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B1F33"/>
          <w:sz w:val="28"/>
          <w:szCs w:val="28"/>
        </w:rPr>
        <w:t xml:space="preserve">18. Historique V1.2 (extrait)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Layout : nav fixe, contenu scroll, bandeau API non fixé.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Dashboard Étendre/Réduire (zone contenu).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Login essais restants + verrouillage ; multi-principal.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i18n FR/EN contenu onglets ; licences OPS-… ; grâce 24 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1F33"/>
          <w:sz w:val="20"/>
          <w:szCs w:val="20"/>
        </w:rPr>
        <w:t xml:space="preserve">Policy profils enable/prio ; logs 90 j ; recovery purge pool.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OpsGate V1 1.2 · Guide utilisateur · référence produit</w:t>
      </w:r>
    </w:p>
    <w:sectPr>
      <w:headerReference w:type="default" r:id="rId7"/>
      <w:footerReference w:type="default" r:id="rId8"/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/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9488" w:sz="6" w:space="4"/>
      </w:pBdr>
    </w:pPr>
    <w:r>
      <w:rPr>
        <w:rFonts w:ascii="Arial" w:cs="Arial" w:eastAsia="Arial" w:hAnsi="Arial"/>
        <w:b/>
        <w:bCs/>
        <w:color w:val="0B1F33"/>
        <w:sz w:val="16"/>
        <w:szCs w:val="16"/>
      </w:rPr>
      <w:t xml:space="preserve">OpsGate</w:t>
    </w:r>
    <w:r>
      <w:rPr>
        <w:rFonts w:ascii="Arial" w:cs="Arial" w:eastAsia="Arial" w:hAnsi="Arial"/>
        <w:color w:val="64748B"/>
        <w:sz w:val="16"/>
        <w:szCs w:val="16"/>
      </w:rPr>
      <w:t xml:space="preserve">  ·  Guide utilisateur V1 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B1F33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D94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2026-07-15T06:11:20.462Z</dcterms:created>
  <dcterms:modified xsi:type="dcterms:W3CDTF">2026-07-15T06:11:20.463Z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