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tbl>
      <w:tblPr>
        <w:tblW w:w="9500" w:type="dxa"/>
        <w:tblBorders>
          <w:top w:val="nil"/>
          <w:left w:val="nil"/>
          <w:bottom w:val="nil"/>
          <w:right w:val="nil"/>
          <w:insideH w:val="nil"/>
          <w:insideV w:val="nil"/>
        </w:tblBorders>
      </w:tblPr>
      <w:tblGrid>
        <w:gridCol w:w="4200"/>
        <w:gridCol w:w="5300"/>
      </w:tblGrid>
      <w:tr>
        <w:tc>
          <w:tcPr>
            <w:tcW w:w="4200" w:type="dxa"/>
          </w:tcPr>
          <w:p>
            <w:pPr>
              <w:jc w:val="center"/>
            </w:pPr>
            <w:r>
              <w:rPr>
                <w:sz w:val="26"/>
              </w:rPr>
              <w:t xml:space="preserve">UBND TỈNH THỪA THIÊN HUẾ</w:t>
            </w:r>
          </w:p>
          <w:p>
            <w:pPr>
              <w:jc w:val="center"/>
            </w:pPr>
            <w:r>
              <w:rPr>
                <w:b/>
                <w:sz w:val="26"/>
              </w:rPr>
              <w:t xml:space="preserve">SỞ NỘI VỤ</w:t>
            </w:r>
          </w:p>
          <w:p>
            <w:pPr>
              <w:jc w:val="center"/>
            </w:pPr>
            <w:r>
              <w:t xml:space="preserve">_______</w:t>
            </w:r>
          </w:p>
        </w:tc>
        <w:tc>
          <w:tcPr>
            <w:tcW w:w="5300" w:type="dxa"/>
          </w:tcPr>
          <w:p>
            <w:pPr>
              <w:jc w:val="center"/>
            </w:pPr>
            <w:r>
              <w:rPr>
                <w:b/>
                <w:sz w:val="26"/>
              </w:rPr>
              <w:t xml:space="preserve">CỘNG HÒA XÃ HỘI CHỦ NGHĨA VIỆT NAM</w:t>
            </w:r>
          </w:p>
          <w:p>
            <w:pPr>
              <w:jc w:val="center"/>
            </w:pPr>
            <w:r>
              <w:rPr>
                <w:b/>
                <w:sz w:val="28"/>
              </w:rPr>
              <w:t xml:space="preserve">Độc lập - Tự do - Hạnh phúc</w:t>
            </w:r>
          </w:p>
        </w:tc>
      </w:tr>
      <w:tr>
        <w:tc>
          <w:tcPr>
            <w:tcW w:w="4200" w:type="dxa"/>
          </w:tcPr>
          <w:p>
            <w:pPr>
              <w:jc w:val="center"/>
            </w:pPr>
            <w:r>
              <w:rPr>
                <w:sz w:val="26"/>
              </w:rPr>
              <w:t xml:space="preserve">Số:      /TB-SNV</w:t>
            </w:r>
          </w:p>
        </w:tc>
        <w:tc>
          <w:tcPr>
            <w:tcW w:w="5300" w:type="dxa"/>
          </w:tcPr>
          <w:p>
            <w:pPr>
              <w:jc w:val="center"/>
            </w:pPr>
            <w:r>
              <w:rPr>
                <w:i/>
                <w:sz w:val="28"/>
              </w:rPr>
              <w:t xml:space="preserve">Thành phố Huế, ngày 16 tháng 11 năm 2026</w:t>
            </w:r>
          </w:p>
        </w:tc>
      </w:tr>
    </w:tbl>
    <w:p/>
    <w:p>
      <w:pPr>
        <w:jc w:val="center"/>
      </w:pPr>
      <w:r>
        <w:rPr>
          <w:b/>
          <w:sz w:val="28"/>
        </w:rPr>
        <w:t xml:space="preserve">THÔNG BÁO</w:t>
      </w:r>
    </w:p>
    <w:p>
      <w:pPr>
        <w:jc w:val="center"/>
      </w:pPr>
      <w:r>
        <w:rPr>
          <w:b/>
          <w:sz w:val="28"/>
        </w:rPr>
        <w:t xml:space="preserve">Kết luận của Giám đốc về việc kiện toàn Ban Chỉ đạo chuyển đổi số</w:t>
      </w:r>
    </w:p>
    <w:p>
      <w:pPr>
        <w:jc w:val="center"/>
      </w:pPr>
      <w:r>
        <w:t xml:space="preserve">___________</w:t>
      </w:r>
    </w:p>
    <w:p>
      <w:pPr>
        <w:ind w:firstLine="567"/>
        <w:jc w:val="both"/>
      </w:pPr>
      <w:r>
        <w:rPr>
          <w:b/>
          <w:sz w:val="26"/>
        </w:rPr>
        <w:t xml:space="preserve">I. KẾT QUẢ ĐẠT ĐƯỢC</w:t>
      </w:r>
    </w:p>
    <w:p>
      <w:pPr>
        <w:ind w:firstLine="567"/>
        <w:jc w:val="both"/>
      </w:pPr>
      <w:r>
        <w:rPr>
          <w:sz w:val="26"/>
        </w:rPr>
        <w:t xml:space="preserve">Trong năm 2025, toàn ngành đã hoàn thành 18/20 chỉ tiêu được giao, trong đó có 05 chỉ tiêu vượt kế hoạch.</w:t>
      </w:r>
    </w:p>
    <w:p>
      <w:pPr>
        <w:ind w:firstLine="567"/>
        <w:jc w:val="both"/>
      </w:pPr>
      <w:r>
        <w:rPr>
          <w:sz w:val="26"/>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6"/>
        </w:rPr>
        <w:t xml:space="preserve">Kinh phí thực hiện được bố trí từ nguồn ngân sách nhà nước theo phân cấp hiện hành và các nguồn hợp pháp khác.</w:t>
      </w:r>
    </w:p>
    <w:p>
      <w:pPr>
        <w:ind w:firstLine="567"/>
        <w:jc w:val="both"/>
      </w:pPr>
      <w:r>
        <w:rPr>
          <w:sz w:val="26"/>
        </w:rPr>
        <w:t xml:space="preserve">Trên đây là nội dung thông báo, đề nghị các đơn vị quan tâm thực hiện./.</w:t>
      </w:r>
    </w:p>
    <w:p/>
    <w:p>
      <w:pPr>
        <w:ind w:left="5103"/>
        <w:jc w:val="center"/>
      </w:pPr>
      <w:r>
        <w:rPr>
          <w:b/>
          <w:sz w:val="28"/>
        </w:rPr>
        <w:t xml:space="preserve">KT. GIÁM ĐỐC</w:t>
      </w:r>
    </w:p>
    <w:p>
      <w:pPr>
        <w:ind w:left="5103"/>
        <w:jc w:val="center"/>
      </w:pPr>
      <w:r>
        <w:rPr>
          <w:b/>
          <w:sz w:val="28"/>
        </w:rPr>
        <w:t xml:space="preserve">PHÓ GIÁM ĐỐC</w:t>
      </w:r>
    </w:p>
    <w:p>
      <w:pPr>
        <w:ind w:left="5103"/>
        <w:jc w:val="center"/>
      </w:pPr>
    </w:p>
    <w:p>
      <w:pPr>
        <w:ind w:left="5103"/>
        <w:jc w:val="center"/>
      </w:pPr>
    </w:p>
    <w:p>
      <w:pPr>
        <w:ind w:left="5103"/>
        <w:jc w:val="center"/>
      </w:pPr>
    </w:p>
    <w:p>
      <w:pPr>
        <w:ind w:left="5103"/>
        <w:jc w:val="center"/>
      </w:pPr>
      <w:r>
        <w:rPr>
          <w:b/>
          <w:sz w:val="28"/>
        </w:rPr>
        <w:t xml:space="preserve">Đặng Hữu Phúc</w:t>
      </w:r>
    </w:p>
    <w:p/>
    <w:p>
      <w:pPr>
        <w:jc w:val="left"/>
      </w:pPr>
      <w:r>
        <w:rPr>
          <w:b/>
          <w:i/>
          <w:sz w:val="24"/>
        </w:rPr>
        <w:t xml:space="preserve">Nơi nhận:</w:t>
      </w:r>
    </w:p>
    <w:p>
      <w:pPr>
        <w:jc w:val="left"/>
      </w:pPr>
      <w:r>
        <w:rPr>
          <w:sz w:val="22"/>
        </w:rPr>
        <w:t xml:space="preserve">- Các phòng, đơn vị thuộc Sở;</w:t>
      </w:r>
    </w:p>
    <w:p>
      <w:pPr>
        <w:jc w:val="left"/>
      </w:pPr>
      <w:r>
        <w:rPr>
          <w:sz w:val="22"/>
        </w:rPr>
        <w:t xml:space="preserve">- Như trên;</w:t>
      </w:r>
    </w:p>
    <w:p>
      <w:pPr>
        <w:jc w:val="left"/>
      </w:pPr>
      <w:r>
        <w:rPr>
          <w:sz w:val="22"/>
        </w:rPr>
        <w:t xml:space="preserve">- Như Điều 3;</w:t>
      </w:r>
    </w:p>
    <w:p>
      <w:pPr>
        <w:jc w:val="left"/>
      </w:pPr>
      <w:r>
        <w:rPr>
          <w:sz w:val="22"/>
        </w:rPr>
        <w:t xml:space="preserve">- Lưu: VT, VP.</w:t>
      </w:r>
    </w:p>
    <w:sectPr>
      <w:pgSz w:w="11906" w:h="16838"/>
      <w:pgMar w:top="1134" w:right="851" w:bottom="1134" w:left="1701"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8"/>
      </w:rPr>
    </w:rPrDefault>
    <w:pPrDefault>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