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BAN QUẢN LÝ KHU KINH TẾ,</w:t>
            </w:r>
          </w:p>
          <w:p>
            <w:pPr>
              <w:jc w:val="center"/>
            </w:pPr>
            <w:r>
              <w:rPr>
                <w:b/>
                <w:sz w:val="26"/>
              </w:rPr>
              <w:t xml:space="preserve">CÔNG NGHIỆP TỈNH</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2769/TB-BQLKKT</w:t>
            </w:r>
          </w:p>
        </w:tc>
        <w:tc>
          <w:tcPr>
            <w:tcW w:w="5300" w:type="dxa"/>
          </w:tcPr>
          <w:p>
            <w:pPr>
              <w:jc w:val="center"/>
            </w:pPr>
            <w:r>
              <w:rPr>
                <w:i/>
                <w:sz w:val="28"/>
              </w:rPr>
              <w:t xml:space="preserve">Thành phố Huế, ngày 04 tháng 12 năm 2026</w:t>
            </w:r>
          </w:p>
        </w:tc>
      </w:tr>
    </w:tbl>
    <w:p/>
    <w:p>
      <w:pPr>
        <w:jc w:val="center"/>
      </w:pPr>
      <w:r>
        <w:rPr>
          <w:b/>
          <w:sz w:val="28"/>
        </w:rPr>
        <w:t xml:space="preserve">THÔNG BÁO</w:t>
      </w:r>
    </w:p>
    <w:p>
      <w:pPr>
        <w:jc w:val="center"/>
      </w:pPr>
      <w:r>
        <w:rPr>
          <w:b/>
          <w:sz w:val="28"/>
        </w:rPr>
        <w:t xml:space="preserve">Kết luận của Giám đốc về việc thực hiện Nghị quyết số 12-NQ/TU của Tỉnh ủy</w:t>
      </w:r>
    </w:p>
    <w:p>
      <w:pPr>
        <w:jc w:val="center"/>
      </w:pPr>
      <w:r>
        <w:t xml:space="preserve">___________</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b/>
          <w:sz w:val="28"/>
        </w:rPr>
        <w:t xml:space="preserve">II. MỤC ĐÍCH, YÊU CẦU</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8"/>
        </w:rPr>
        <w:t xml:space="preserve">III. MỤC ĐÍCH, YÊU CẦU</w:t>
      </w:r>
    </w:p>
    <w:p>
      <w:pPr>
        <w:ind w:firstLine="567"/>
        <w:jc w:val="both"/>
      </w:pPr>
      <w:r>
        <w:rPr>
          <w:sz w:val="28"/>
        </w:rPr>
        <w:t xml:space="preserve">Trên đây là nội dung thông báo, đề nghị các đơn vị quan tâm thực hiện./.</w:t>
      </w:r>
    </w:p>
    <w:p/>
    <w:p>
      <w:pPr>
        <w:jc w:val="right"/>
      </w:pPr>
      <w:r>
        <w:rPr>
          <w:b/>
          <w:sz w:val="28"/>
        </w:rPr>
        <w:t xml:space="preserve">TL. TRƯỞNG BAN</w:t>
      </w:r>
    </w:p>
    <w:p>
      <w:pPr>
        <w:jc w:val="right"/>
      </w:pPr>
      <w:r>
        <w:rPr>
          <w:b/>
          <w:sz w:val="28"/>
        </w:rPr>
        <w:t xml:space="preserve">CHÁNH VĂN PHÒNG</w:t>
      </w:r>
    </w:p>
    <w:p>
      <w:pPr>
        <w:jc w:val="right"/>
      </w:pPr>
    </w:p>
    <w:p>
      <w:pPr>
        <w:jc w:val="right"/>
      </w:pPr>
      <w:r>
        <w:rPr>
          <w:i/>
          <w:sz w:val="26"/>
        </w:rPr>
        <w:t xml:space="preserve">(Đã ký)</w:t>
      </w:r>
    </w:p>
    <w:p>
      <w:pPr>
        <w:jc w:val="right"/>
      </w:pPr>
    </w:p>
    <w:p>
      <w:pPr>
        <w:jc w:val="right"/>
      </w:pPr>
      <w:r>
        <w:rPr>
          <w:b/>
          <w:sz w:val="28"/>
        </w:rPr>
        <w:t xml:space="preserve">Lê Quang Hùng</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UBND tỉnh (để b/c);</w:t>
      </w:r>
    </w:p>
    <w:p>
      <w:pPr>
        <w:jc w:val="left"/>
      </w:pPr>
      <w:r>
        <w:rPr>
          <w:sz w:val="22"/>
        </w:rPr>
        <w:t xml:space="preserve">- Như trên;</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