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5300"/>
      </w:tblGrid>
      <w:tr>
        <w:tc>
          <w:tcPr>
            <w:tcW w:w="42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b/>
                <w:sz w:val="26"/>
              </w:rPr>
              <w:t xml:space="preserve">PHƯỜNG PHÚ HỘI</w:t>
            </w:r>
          </w:p>
          <w:p>
            <w:pPr>
              <w:jc w:val="center"/>
            </w:pPr>
            <w:r>
              <w:rPr>
                <w:sz w:val="26"/>
              </w:rPr>
              <w:t xml:space="preserve">Số: 1712/QĐ-UBND</w:t>
            </w:r>
          </w:p>
        </w:tc>
        <w:tc>
          <w:tcPr>
            <w:tcW w:w="5300" w:type="dxa"/>
          </w:tcPr>
          <w:p>
            <w:pPr>
              <w:jc w:val="center"/>
            </w:pPr>
            <w:r>
              <w:rPr>
                <w:b/>
                <w:sz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sz w:val="28"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________________________</w:t>
            </w:r>
          </w:p>
          <w:p>
            <w:pPr>
              <w:jc w:val="center"/>
            </w:pPr>
            <w:r>
              <w:rPr>
                <w:i/>
                <w:sz w:val="28"/>
              </w:rPr>
              <w:t xml:space="preserve">Huế, ngày 22 tháng 12 năm 2026</w:t>
            </w:r>
          </w:p>
        </w:tc>
      </w:tr>
    </w:tbl>
    <w:p/>
    <w:p>
      <w:pPr>
        <w:jc w:val="center"/>
      </w:pPr>
      <w:r>
        <w:rPr>
          <w:b/>
          <w:sz w:val="28"/>
        </w:rPr>
        <w:t xml:space="preserve">QUYẾT ĐỊNH</w:t>
      </w:r>
    </w:p>
    <w:p>
      <w:pPr>
        <w:jc w:val="center"/>
      </w:pPr>
      <w:r>
        <w:rPr>
          <w:b/>
          <w:sz w:val="28"/>
        </w:rPr>
        <w:t xml:space="preserve">Về việc thực hiện Nghị quyết số 12-NQ/TU của Tỉnh ủy</w:t>
      </w:r>
    </w:p>
    <w:p/>
    <w:p>
      <w:pPr>
        <w:jc w:val="center"/>
      </w:pPr>
      <w:r>
        <w:rPr>
          <w:b/>
          <w:sz w:val="28"/>
        </w:rPr>
        <w:t xml:space="preserve">ỦY BAN NHÂN DÂN PHƯỜNG PHÚ HỘI</w:t>
      </w:r>
    </w:p>
    <w:p/>
    <w:p>
      <w:pPr>
        <w:ind w:firstLine="567"/>
        <w:jc w:val="both"/>
      </w:pPr>
      <w:r>
        <w:rPr>
          <w:i/>
          <w:sz w:val="28"/>
        </w:rPr>
        <w:t xml:space="preserve">Căn cứ Luật Tổ chức chính quyền địa phương ngày 19 tháng 02 năm 2025;</w:t>
      </w:r>
    </w:p>
    <w:p>
      <w:pPr>
        <w:ind w:firstLine="567"/>
        <w:jc w:val="both"/>
      </w:pPr>
      <w:r>
        <w:rPr>
          <w:i/>
          <w:sz w:val="28"/>
        </w:rPr>
        <w:t xml:space="preserve">Căn cứ Nghị định số 30/2020/NĐ-CP ngày 05 tháng 3 năm 2020 của Chính phủ về công tác văn thư;</w:t>
      </w:r>
    </w:p>
    <w:p>
      <w:pPr>
        <w:ind w:firstLine="567"/>
        <w:jc w:val="both"/>
      </w:pPr>
      <w:r>
        <w:rPr>
          <w:i/>
          <w:sz w:val="28"/>
        </w:rPr>
        <w:t xml:space="preserve">Theo đề nghị của Chánh Văn phòng.</w:t>
      </w:r>
    </w:p>
    <w:p>
      <w:pPr>
        <w:jc w:val="center"/>
      </w:pPr>
      <w:r>
        <w:rPr>
          <w:b/>
          <w:sz w:val="28"/>
        </w:rPr>
        <w:t xml:space="preserve">QUYẾT ĐỊNH:</w:t>
      </w:r>
    </w:p>
    <w:p>
      <w:pPr>
        <w:ind w:firstLine="567"/>
        <w:jc w:val="both"/>
      </w:pPr>
      <w:r>
        <w:rPr>
          <w:sz w:val="28"/>
        </w:rPr>
        <w:t xml:space="preserve">Điều 1. Trong quá trình triển khai, nếu có khó khăn, vướng mắc, đề nghị các đơn vị phản ánh kịp thời để xem xét, giải quyết.</w:t>
      </w:r>
    </w:p>
    <w:p>
      <w:pPr>
        <w:ind w:firstLine="567"/>
        <w:jc w:val="both"/>
      </w:pPr>
      <w:r>
        <w:rPr>
          <w:sz w:val="28"/>
        </w:rPr>
        <w:t xml:space="preserve">Điều 2. Trong năm 2025, toàn ngành đã hoàn thành 18/20 chỉ tiêu được giao, trong đó có 05 chỉ tiêu vượt kế hoạch.</w:t>
      </w:r>
    </w:p>
    <w:p>
      <w:pPr>
        <w:ind w:firstLine="567"/>
        <w:jc w:val="both"/>
      </w:pPr>
      <w:r>
        <w:rPr>
          <w:sz w:val="28"/>
        </w:rPr>
        <w:t xml:space="preserve">Điều 3. 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sz w:val="28"/>
        </w:rPr>
        <w:t xml:space="preserve">Thực hiện chỉ đạo của Ủy ban nhân dân tỉnh tại Văn bản số 1234/UBND-NC ngày 15 tháng 9 năm 2026, đơn vị đã khẩn trương triển khai các nội dung có liên quan.</w:t>
      </w:r>
    </w:p>
    <w:p>
      <w:pPr>
        <w:ind w:firstLine="567"/>
        <w:jc w:val="both"/>
      </w:pPr>
      <w:r>
        <w:rPr>
          <w:b/>
          <w:sz w:val="28"/>
        </w:rPr>
        <w:t xml:space="preserve">II. TỔ CHỨC THỰC HIỆN</w:t>
      </w:r>
    </w:p>
    <w:p>
      <w:pPr>
        <w:ind w:firstLine="567"/>
        <w:jc w:val="both"/>
      </w:pPr>
      <w:r>
        <w:rPr>
          <w:sz w:val="28"/>
        </w:rPr>
        <w:t xml:space="preserve">Trên đây là nội dung quyết định, đề nghị các đơn vị quan tâm thực hiện./.</w:t>
      </w:r>
    </w:p>
    <w:p/>
    <w:p>
      <w:pPr>
        <w:jc w:val="right"/>
      </w:pPr>
      <w:r>
        <w:rPr>
          <w:b/>
          <w:sz w:val="28"/>
        </w:rPr>
        <w:t xml:space="preserve">TM. ỦY BAN NHÂN DÂN</w:t>
      </w:r>
    </w:p>
    <w:p>
      <w:pPr>
        <w:jc w:val="right"/>
      </w:pPr>
      <w:r>
        <w:rPr>
          <w:b/>
          <w:sz w:val="28"/>
        </w:rPr>
        <w:t xml:space="preserve">CHỦ TỊCH</w:t>
      </w:r>
    </w:p>
    <w:p>
      <w:pPr>
        <w:jc w:val="right"/>
      </w:pPr>
    </w:p>
    <w:p>
      <w:pPr>
        <w:jc w:val="right"/>
      </w:pPr>
    </w:p>
    <w:p>
      <w:pPr>
        <w:jc w:val="right"/>
      </w:pPr>
      <w:r>
        <w:rPr>
          <w:b/>
          <w:sz w:val="28"/>
        </w:rPr>
        <w:t xml:space="preserve">Hoàng Thị Thu Hà</w:t>
      </w:r>
    </w:p>
    <w:p/>
    <w:p>
      <w:pPr>
        <w:jc w:val="left"/>
      </w:pPr>
      <w:r>
        <w:rPr>
          <w:b/>
          <w:i/>
          <w:sz w:val="24"/>
        </w:rPr>
        <w:t xml:space="preserve">Nơi nhận:</w:t>
      </w:r>
    </w:p>
    <w:p>
      <w:pPr>
        <w:jc w:val="left"/>
      </w:pPr>
      <w:r>
        <w:rPr>
          <w:sz w:val="22"/>
        </w:rPr>
        <w:t xml:space="preserve">- Như Điều 3;</w:t>
      </w:r>
    </w:p>
    <w:p>
      <w:pPr>
        <w:jc w:val="left"/>
      </w:pPr>
      <w:r>
        <w:rPr>
          <w:sz w:val="22"/>
        </w:rPr>
        <w:t xml:space="preserve">- Các phòng, đơn vị thuộc Sở;</w:t>
      </w:r>
    </w:p>
    <w:p>
      <w:pPr>
        <w:jc w:val="left"/>
      </w:pPr>
      <w:r>
        <w:rPr>
          <w:sz w:val="22"/>
        </w:rPr>
        <w:t xml:space="preserve">- Lưu: VT, VP.</w:t>
      </w:r>
    </w:p>
    <w:sectPr>
      <w:pgSz w:w="11906" w:h="16838"/>
      <w:pgMar w:top="1134" w:right="851" w:bottom="1134" w:left="1701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