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rFonts w:ascii="Arial" w:hAnsi="Arial"/>
                <w:b/>
                <w:sz w:val="28"/>
              </w:rPr>
              <w:t xml:space="preserve">HỘI ĐỒNG NHÂN DÂN</w:t>
            </w:r>
          </w:p>
          <w:p>
            <w:pPr>
              <w:jc w:val="center"/>
            </w:pPr>
            <w:r>
              <w:rPr>
                <w:rFonts w:ascii="Arial" w:hAnsi="Arial"/>
                <w:b/>
                <w:sz w:val="28"/>
              </w:rPr>
              <w:t xml:space="preserve">TỈNH THỪA THIÊN HUẾ</w:t>
            </w:r>
          </w:p>
          <w:p>
            <w:pPr>
              <w:jc w:val="center"/>
            </w:pPr>
            <w:r>
              <w:rPr>
                <w:rFonts w:ascii="Arial" w:hAnsi="Arial"/>
                <w:sz w:val="26"/>
              </w:rPr>
              <w:t xml:space="preserve">Số: 649/NQ-HĐND</w:t>
            </w:r>
          </w:p>
        </w:tc>
        <w:tc>
          <w:tcPr>
            <w:tcW w:w="5300" w:type="dxa"/>
          </w:tcPr>
          <w:p>
            <w:pPr>
              <w:jc w:val="center"/>
            </w:pPr>
            <w:r>
              <w:rPr>
                <w:rFonts w:ascii="Arial" w:hAnsi="Arial"/>
                <w:b/>
                <w:sz w:val="28"/>
              </w:rPr>
              <w:t xml:space="preserve">CỘNG HÒA XÃ HỘI CHỦ NGHĨA VIỆT NAM</w:t>
            </w:r>
          </w:p>
          <w:p>
            <w:pPr>
              <w:jc w:val="center"/>
            </w:pPr>
            <w:r>
              <w:rPr>
                <w:rFonts w:ascii="Arial" w:hAnsi="Arial"/>
                <w:b/>
                <w:sz w:val="30"/>
              </w:rPr>
              <w:t xml:space="preserve">Độc lập - Tự do - Hạnh phúc</w:t>
            </w:r>
          </w:p>
          <w:p>
            <w:pPr>
              <w:jc w:val="center"/>
            </w:pPr>
            <w:r>
              <w:rPr>
                <w:rFonts w:ascii="Arial" w:hAnsi="Arial"/>
                <w:i/>
                <w:sz w:val="28"/>
              </w:rPr>
              <w:t xml:space="preserve">Thành phố Huế, ngày 01 tháng 10 năm 2026</w:t>
            </w:r>
          </w:p>
        </w:tc>
      </w:tr>
    </w:tbl>
    <w:p/>
    <w:p>
      <w:pPr>
        <w:jc w:val="center"/>
      </w:pPr>
      <w:r>
        <w:rPr>
          <w:rFonts w:ascii="Arial" w:hAnsi="Arial"/>
          <w:b/>
          <w:sz w:val="30"/>
        </w:rPr>
        <w:t xml:space="preserve">NGHỊ QUYẾT</w:t>
      </w:r>
    </w:p>
    <w:p>
      <w:pPr>
        <w:jc w:val="center"/>
      </w:pPr>
      <w:r>
        <w:rPr>
          <w:rFonts w:ascii="Arial" w:hAnsi="Arial"/>
          <w:b/>
          <w:sz w:val="28"/>
        </w:rPr>
        <w:t xml:space="preserve">Về việc tăng cường công tác phòng, chống dịch bệnh mùa mưa bão năm 2026</w:t>
      </w:r>
    </w:p>
    <w:p/>
    <w:p>
      <w:pPr>
        <w:jc w:val="center"/>
      </w:pPr>
      <w:r>
        <w:rPr>
          <w:rFonts w:ascii="Arial" w:hAnsi="Arial"/>
          <w:b/>
          <w:sz w:val="28"/>
        </w:rPr>
        <w:t xml:space="preserve">HỘI ĐỒNG NHÂN DÂN TỈNH THỪA THIÊN HUẾ</w:t>
      </w:r>
    </w:p>
    <w:p>
      <w:pPr>
        <w:jc w:val="center"/>
      </w:pPr>
      <w:r>
        <w:rPr>
          <w:rFonts w:ascii="Arial" w:hAnsi="Arial"/>
          <w:b/>
          <w:sz w:val="28"/>
        </w:rPr>
        <w:t xml:space="preserve">KHÓA VIII, KỲ HỌP THỨ 9</w:t>
      </w:r>
    </w:p>
    <w:p/>
    <w:p>
      <w:pPr>
        <w:ind w:firstLine="567"/>
        <w:jc w:val="both"/>
      </w:pPr>
      <w:r>
        <w:rPr>
          <w:rFonts w:ascii="Arial" w:hAnsi="Arial"/>
          <w:i/>
          <w:sz w:val="28"/>
        </w:rPr>
        <w:t xml:space="preserve">Căn cứ Luật Tổ chức chính quyền địa phương ngày 19 tháng 02 năm 2025;</w:t>
      </w:r>
    </w:p>
    <w:p>
      <w:pPr>
        <w:ind w:firstLine="567"/>
        <w:jc w:val="both"/>
      </w:pPr>
      <w:r>
        <w:rPr>
          <w:rFonts w:ascii="Arial" w:hAnsi="Arial"/>
          <w:i/>
          <w:sz w:val="28"/>
        </w:rPr>
        <w:t xml:space="preserve">Căn cứ Nghị định số 30/2020/NĐ-CP ngày 05 tháng 3 năm 2020 của Chính phủ về công tác văn thư;</w:t>
      </w:r>
    </w:p>
    <w:p>
      <w:pPr>
        <w:jc w:val="center"/>
      </w:pPr>
      <w:r>
        <w:rPr>
          <w:rFonts w:ascii="Arial" w:hAnsi="Arial"/>
          <w:b/>
          <w:sz w:val="28"/>
        </w:rPr>
        <w:t xml:space="preserve">QUYẾT NGHỊ:</w:t>
      </w:r>
    </w:p>
    <w:p>
      <w:pPr>
        <w:ind w:firstLine="567"/>
        <w:jc w:val="both"/>
      </w:pPr>
      <w:r>
        <w:rPr>
          <w:rFonts w:ascii="Arial" w:hAnsi="Arial"/>
          <w:sz w:val="27"/>
        </w:rPr>
        <w:t xml:space="preserve">Điều 1. 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Điều 2. 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Điều 3. Kinh phí thực hiện được bố trí từ nguồn ngân sách nhà nước theo phân cấp hiện hành và các nguồn hợp pháp khác.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b/>
          <w:sz w:val="27"/>
        </w:rPr>
        <w:t xml:space="preserve">V. KẾT QUẢ ĐẠT ĐƯỢC</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b/>
          <w:sz w:val="27"/>
        </w:rPr>
        <w:t xml:space="preserve">VI. TỔ CHỨC THỰC HIỆN</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b/>
          <w:sz w:val="27"/>
        </w:rPr>
        <w:t xml:space="preserve">VI. NHIỆM VỤ, GIẢI PHÁP</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b/>
          <w:sz w:val="27"/>
        </w:rPr>
        <w:t xml:space="preserve">VI. MỤC ĐÍCH, YÊU CẦU</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b/>
          <w:sz w:val="27"/>
        </w:rPr>
        <w:t xml:space="preserve">VI. MỤC ĐÍCH, YÊU CẦU</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b/>
          <w:sz w:val="27"/>
        </w:rPr>
        <w:t xml:space="preserve">VI. TỔ CHỨC THỰC HIỆN</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b/>
          <w:sz w:val="27"/>
        </w:rPr>
        <w:t xml:space="preserve">VI. TỔ CHỨC THỰC HIỆN</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b/>
          <w:sz w:val="27"/>
        </w:rPr>
        <w:t xml:space="preserve">VI. MỤC ĐÍCH, YÊU CẦU</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b/>
          <w:sz w:val="27"/>
        </w:rPr>
        <w:t xml:space="preserve">VI. NHIỆM VỤ, GIẢI PHÁP</w:t>
      </w:r>
    </w:p>
    <w:p>
      <w:pPr>
        <w:ind w:firstLine="567"/>
        <w:jc w:val="both"/>
      </w:pPr>
      <w:r>
        <w:rPr>
          <w:rFonts w:ascii="Arial" w:hAnsi="Arial"/>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b/>
          <w:sz w:val="27"/>
        </w:rPr>
        <w:t xml:space="preserve">VI. KẾT QUẢ ĐẠT ĐƯỢC</w:t>
      </w:r>
    </w:p>
    <w:p>
      <w:pPr>
        <w:ind w:firstLine="567"/>
        <w:jc w:val="both"/>
      </w:pPr>
      <w:r>
        <w:rPr>
          <w:rFonts w:ascii="Arial" w:hAnsi="Arial"/>
          <w:sz w:val="27"/>
        </w:rPr>
        <w:t xml:space="preserve">Trên đây là nội dung nghị quyết, đề nghị các đơn vị quan tâm thực hiện./.</w:t>
      </w:r>
    </w:p>
    <w:p/>
    <w:p>
      <w:pPr>
        <w:jc w:val="right"/>
      </w:pPr>
      <w:r>
        <w:rPr>
          <w:rFonts w:ascii="Arial" w:hAnsi="Arial"/>
          <w:b/>
          <w:sz w:val="28"/>
        </w:rPr>
        <w:t xml:space="preserve">CHỦ TỊCH</w:t>
      </w:r>
    </w:p>
    <w:p>
      <w:pPr>
        <w:jc w:val="right"/>
      </w:pPr>
    </w:p>
    <w:p>
      <w:pPr>
        <w:jc w:val="right"/>
      </w:pPr>
    </w:p>
    <w:p>
      <w:pPr>
        <w:jc w:val="right"/>
      </w:pPr>
    </w:p>
    <w:p>
      <w:pPr>
        <w:jc w:val="right"/>
      </w:pPr>
      <w:r>
        <w:rPr>
          <w:rFonts w:ascii="Arial" w:hAnsi="Arial"/>
          <w:b/>
          <w:sz w:val="28"/>
        </w:rPr>
        <w:t xml:space="preserve">Trần Thị Bích Ngọc</w:t>
      </w:r>
    </w:p>
    <w:p/>
    <w:p>
      <w:pPr>
        <w:jc w:val="left"/>
      </w:pPr>
      <w:r>
        <w:rPr>
          <w:rFonts w:ascii="Arial" w:hAnsi="Arial"/>
          <w:b/>
          <w:i/>
          <w:sz w:val="24"/>
        </w:rPr>
        <w:t xml:space="preserve">Nơi nhận:</w:t>
      </w:r>
    </w:p>
    <w:p>
      <w:pPr>
        <w:jc w:val="left"/>
      </w:pPr>
      <w:r>
        <w:rPr>
          <w:rFonts w:ascii="Arial" w:hAnsi="Arial"/>
          <w:sz w:val="22"/>
        </w:rPr>
        <w:t xml:space="preserve">- Giám đốc, các PGĐ Sở;</w:t>
      </w:r>
    </w:p>
    <w:p>
      <w:pPr>
        <w:jc w:val="left"/>
      </w:pPr>
      <w:r>
        <w:rPr>
          <w:rFonts w:ascii="Arial" w:hAnsi="Arial"/>
          <w:sz w:val="22"/>
        </w:rPr>
        <w:t xml:space="preserve">- Như trên;</w:t>
      </w:r>
    </w:p>
    <w:p>
      <w:pPr>
        <w:jc w:val="left"/>
      </w:pPr>
      <w:r>
        <w:rPr>
          <w:rFonts w:ascii="Arial" w:hAnsi="Arial"/>
          <w:sz w:val="22"/>
        </w:rPr>
        <w:t xml:space="preserve">- Các phòng, đơn vị thuộc Sở;</w:t>
      </w:r>
    </w:p>
    <w:p>
      <w:pPr>
        <w:jc w:val="left"/>
      </w:pPr>
      <w:r>
        <w:rPr>
          <w:rFonts w:ascii="Arial" w:hAnsi="Arial"/>
          <w:sz w:val="22"/>
        </w:rPr>
        <w:t xml:space="preserve">- Cổng TTĐT;</w:t>
      </w:r>
    </w:p>
    <w:p>
      <w:pPr>
        <w:jc w:val="left"/>
      </w:pPr>
      <w:r>
        <w:rPr>
          <w:rFonts w:ascii="Arial" w:hAnsi="Arial"/>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