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4"/>
              </w:rPr>
              <w:t xml:space="preserve">ỦY BAN NHÂN DÂN</w:t>
            </w:r>
          </w:p>
          <w:p>
            <w:pPr>
              <w:jc w:val="center"/>
            </w:pPr>
            <w:r>
              <w:rPr>
                <w:b/>
                <w:sz w:val="24"/>
              </w:rPr>
              <w:t xml:space="preserve">TỈNH THỪA THIÊN HUẾ</w:t>
            </w:r>
          </w:p>
          <w:p>
            <w:pPr>
              <w:jc w:val="center"/>
            </w:pPr>
            <w:r>
              <w:t xml:space="preserve">_______</w:t>
            </w:r>
          </w:p>
          <w:p>
            <w:pPr>
              <w:jc w:val="center"/>
            </w:pPr>
            <w:r>
              <w:rPr>
                <w:sz w:val="26"/>
              </w:rPr>
              <w:t xml:space="preserve">Số: 3392/QĐ-UBND</w:t>
            </w:r>
          </w:p>
        </w:tc>
        <w:tc>
          <w:tcPr>
            <w:tcW w:w="5300" w:type="dxa"/>
          </w:tcPr>
          <w:p>
            <w:pPr>
              <w:jc w:val="center"/>
            </w:pPr>
            <w:r>
              <w:rPr>
                <w:b/>
                <w:sz w:val="24"/>
              </w:rPr>
              <w:t xml:space="preserve">CỘNG HÒA XÃ HỘI CHỦ NGHĨA VIỆT NAM</w:t>
            </w:r>
          </w:p>
          <w:p>
            <w:pPr>
              <w:jc w:val="center"/>
            </w:pPr>
            <w:r>
              <w:rPr>
                <w:b/>
                <w:sz w:val="26"/>
              </w:rPr>
              <w:t xml:space="preserve">Độc lập - Tự do - Hạnh phúc</w:t>
            </w:r>
          </w:p>
          <w:p>
            <w:pPr>
              <w:jc w:val="center"/>
            </w:pPr>
            <w:r>
              <w:rPr>
                <w:i/>
                <w:sz w:val="28"/>
              </w:rPr>
              <w:t xml:space="preserve">Phú Hội, ngày 19 tháng 12 năm 2026</w:t>
            </w:r>
          </w:p>
        </w:tc>
      </w:tr>
    </w:tbl>
    <w:p/>
    <w:p>
      <w:pPr>
        <w:jc w:val="center"/>
      </w:pPr>
      <w:r>
        <w:rPr>
          <w:b/>
          <w:sz w:val="30"/>
        </w:rPr>
        <w:t xml:space="preserve">QUYẾT ĐỊNH</w:t>
      </w:r>
    </w:p>
    <w:p>
      <w:pPr>
        <w:jc w:val="center"/>
      </w:pPr>
      <w:r>
        <w:rPr>
          <w:b/>
          <w:sz w:val="28"/>
        </w:rPr>
        <w:t xml:space="preserve">Về việc thực hiện Nghị quyết số 12-NQ/TU của Tỉnh ủy</w:t>
      </w:r>
    </w:p>
    <w:p>
      <w:pPr>
        <w:jc w:val="center"/>
      </w:pPr>
      <w:r>
        <w:t xml:space="preserve">___________</w:t>
      </w:r>
    </w:p>
    <w:p/>
    <w:p>
      <w:pPr>
        <w:jc w:val="center"/>
      </w:pPr>
      <w:r>
        <w:rPr>
          <w:b/>
          <w:sz w:val="28"/>
        </w:rPr>
        <w:t xml:space="preserve">ỦY BAN NHÂN DÂN TỈNH THỪA THIÊN HUẾ</w:t>
      </w:r>
    </w:p>
    <w:p/>
    <w:p>
      <w:pPr>
        <w:ind w:firstLine="567"/>
        <w:jc w:val="both"/>
      </w:pPr>
      <w:r>
        <w:rPr>
          <w:i/>
          <w:sz w:val="28"/>
        </w:rPr>
        <w:t xml:space="preserve">Căn cứ Luật Tổ chức chính quyền địa phương ngày 19 tháng 02 năm 2025;</w:t>
      </w:r>
    </w:p>
    <w:p>
      <w:pPr>
        <w:ind w:firstLine="567"/>
        <w:jc w:val="both"/>
      </w:pPr>
      <w:r>
        <w:rPr>
          <w:i/>
          <w:sz w:val="28"/>
        </w:rPr>
        <w:t xml:space="preserve">Căn cứ Nghị định số 30/2020/NĐ-CP ngày 05 tháng 3 năm 2020 của Chính phủ về công tác văn thư;</w:t>
      </w:r>
    </w:p>
    <w:p>
      <w:pPr>
        <w:ind w:firstLine="567"/>
        <w:jc w:val="both"/>
      </w:pPr>
      <w:r>
        <w:rPr>
          <w:i/>
          <w:sz w:val="28"/>
        </w:rPr>
        <w:t xml:space="preserve">Theo đề nghị của Chánh Văn phòng.</w:t>
      </w:r>
    </w:p>
    <w:p>
      <w:pPr>
        <w:jc w:val="center"/>
      </w:pPr>
      <w:r>
        <w:rPr>
          <w:b/>
          <w:sz w:val="28"/>
        </w:rPr>
        <w:t xml:space="preserve">QUYẾT ĐỊNH:</w:t>
      </w:r>
    </w:p>
    <w:p>
      <w:pPr>
        <w:ind w:firstLine="567"/>
        <w:jc w:val="both"/>
      </w:pPr>
      <w:r>
        <w:rPr>
          <w:sz w:val="27"/>
        </w:rPr>
        <w:t xml:space="preserve">Điều 1. Thực hiện chỉ đạo của Ủy ban nhân dân tỉnh tại Văn bản số 1234/UBND-NC ngày 15 tháng 9 năm 2026, đơn vị đã khẩn trương triển khai các nội dung có liên quan.</w:t>
      </w:r>
    </w:p>
    <w:p>
      <w:pPr>
        <w:ind w:firstLine="567"/>
        <w:jc w:val="both"/>
      </w:pPr>
      <w:r>
        <w:rPr>
          <w:sz w:val="27"/>
        </w:rPr>
        <w:t xml:space="preserve">Điều 2. Các cơ quan, đơn vị căn cứ chức năng, nhiệm vụ được giao chủ động xây dựng kế hoạch, bố trí nguồn lực để thực hiện đảm bảo hiệu quả, đúng tiến độ.</w:t>
      </w:r>
    </w:p>
    <w:p>
      <w:pPr>
        <w:ind w:firstLine="567"/>
        <w:jc w:val="both"/>
      </w:pPr>
      <w:r>
        <w:rPr>
          <w:sz w:val="27"/>
        </w:rPr>
        <w:t xml:space="preserve">Điều 3. Các cơ quan, đơn vị căn cứ chức năng, nhiệm vụ được giao chủ động xây dựng kế hoạch, bố trí nguồn lực để thực hiện đảm bảo hiệu quả, đúng tiến độ.</w:t>
      </w:r>
    </w:p>
    <w:p>
      <w:pPr>
        <w:ind w:firstLine="567"/>
        <w:jc w:val="both"/>
      </w:pPr>
      <w:r>
        <w:rPr>
          <w:sz w:val="27"/>
        </w:rPr>
        <w:t xml:space="preserve">Trên đây là nội dung quyết định, đề nghị các đơn vị quan tâm thực hiện./.</w:t>
      </w:r>
    </w:p>
    <w:p/>
    <w:p>
      <w:pPr>
        <w:jc w:val="right"/>
      </w:pPr>
      <w:r>
        <w:rPr>
          <w:b/>
          <w:sz w:val="26"/>
        </w:rPr>
        <w:t xml:space="preserve">KT. CHỦ TỊCH</w:t>
      </w:r>
    </w:p>
    <w:p>
      <w:pPr>
        <w:jc w:val="right"/>
      </w:pPr>
      <w:r>
        <w:rPr>
          <w:b/>
          <w:sz w:val="26"/>
        </w:rPr>
        <w:t xml:space="preserve">PHÓ CHỦ TỊCH</w:t>
      </w:r>
    </w:p>
    <w:p>
      <w:pPr>
        <w:jc w:val="right"/>
      </w:pPr>
    </w:p>
    <w:p>
      <w:pPr>
        <w:jc w:val="right"/>
      </w:pPr>
    </w:p>
    <w:p>
      <w:pPr>
        <w:jc w:val="right"/>
      </w:pPr>
    </w:p>
    <w:p>
      <w:pPr>
        <w:jc w:val="right"/>
      </w:pPr>
      <w:r>
        <w:rPr>
          <w:b/>
          <w:sz w:val="28"/>
        </w:rPr>
        <w:t xml:space="preserve">Trần Thị Bích Ngọc</w:t>
      </w:r>
    </w:p>
    <w:p/>
    <w:p>
      <w:pPr>
        <w:jc w:val="left"/>
      </w:pPr>
      <w:r>
        <w:rPr>
          <w:b/>
          <w:i/>
          <w:sz w:val="24"/>
        </w:rPr>
        <w:t xml:space="preserve">Nơi nhận:</w:t>
      </w:r>
    </w:p>
    <w:p>
      <w:pPr>
        <w:jc w:val="left"/>
      </w:pPr>
      <w:r>
        <w:rPr>
          <w:sz w:val="22"/>
        </w:rPr>
        <w:t xml:space="preserve">- Các phòng, đơn vị thuộc Sở;</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