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60"/>
          <w:szCs w:val="60"/>
        </w:rPr>
        <w:t xml:space="preserve">연구 실험설계 정리</w:t>
      </w: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color w:val="2E75B6"/>
          <w:sz w:val="28"/>
          <w:szCs w:val="28"/>
        </w:rPr>
        <w:t xml:space="preserve">AI 질문 역량 예측·효과·조절 연구 (논문 1·2·3)</w:t>
      </w:r>
    </w:p>
    <w:p>
      <w:pPr>
        <w:spacing w:before="0" w:after="4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청주교육대학교 컴퓨터교육과 | 2026-03-01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9"/>
                <w:szCs w:val="19"/>
              </w:rPr>
              <w:t xml:space="preserve">【연구 목적】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9"/>
                <w:szCs w:val="19"/>
              </w:rPr>
              <w:t xml:space="preserve">예비교사의 AI 질문 역량(AI Questioning Competency)을 측정하고,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9"/>
                <w:szCs w:val="19"/>
              </w:rPr>
              <w:t xml:space="preserve">이를 예측하는 변인을 탐색하며(논문 1), 교육 효과를 검증하고(논문 2),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9"/>
                <w:szCs w:val="19"/>
              </w:rPr>
              <w:t xml:space="preserve">조절변인을 분석한다(논문 3).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9"/>
                <w:szCs w:val="19"/>
              </w:rPr>
              <w:t xml:space="preserve">【핵심 구인】 협업적 추상화(Collaborative Abstraction)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9"/>
                <w:szCs w:val="19"/>
              </w:rPr>
              <w:t xml:space="preserve">AI에게 의도를 표현 → AI 응답 평가 → 반복 정련하는 역량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9"/>
                <w:szCs w:val="19"/>
              </w:rPr>
              <w:t xml:space="preserve">【데이터 수집 원칙】 수업 과제 = 연구 데이터 (별도 실험 세션 없음)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1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1. 전체 연구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600"/>
        <w:gridCol w:w="1600"/>
        <w:gridCol w:w="1800"/>
        <w:gridCol w:w="1560"/>
      </w:tblGrid>
      <w:tr>
        <w:tc>
          <w:tcPr>
            <w:tcW w:type="dxa" w:w="11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논문</w:t>
            </w:r>
          </w:p>
        </w:tc>
        <w:tc>
          <w:tcPr>
            <w:tcW w:type="dxa" w:w="1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강의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설계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연구 문제</w:t>
            </w:r>
          </w:p>
        </w:tc>
        <w:tc>
          <w:tcPr>
            <w:tcW w:type="dxa" w:w="15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분석 방법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논문 1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AI디지털리터러시
(5주×2시간)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90명
(6개 분반×15명)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단면 예측 연구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예측변인 → AI 질문 역량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상관분석
위계적 회귀분석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논문 2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사물인터넷과
빅데이터
(15주×2시간)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21명
(컴퓨터교육과 4학년)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사전·사후
효과 연구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바이브코딩 교육 후
AI 질문 역량 향상?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대응표본 t검정
Cohen's d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논문 3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두 강의 통합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21명
(두 강의 공통 수강)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조절효과 연구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어떤 특성이 교육
효과를 조절하는가?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위계적 회귀분석
(변인 최대 2개)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1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2. 참여자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5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AI디지털리터러시 수강생</w:t>
            </w:r>
          </w:p>
        </w:tc>
        <w:tc>
          <w:tcPr>
            <w:tcW w:type="dxa" w:w="35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사물인터넷과빅데이터 수강생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대상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청주교육대학교 예비교사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청주교육대학교 컴퓨터교육과 4학년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90명 (6개 분반 × 15명)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21명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논문 활용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논문 1 (종속변인 측정)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논문 2·3 (사전·사후 측정)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중복 수강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21명은 두 강의 모두 수강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모두 AI디지털리터러시도 수강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IRB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IRB 승인 및 자발적 동의 필요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동일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1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3. 데이터 수집 타임라인</w:t>
      </w:r>
    </w:p>
    <w:p>
      <w:pPr>
        <w:spacing w:before="320" w:after="16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3.1 AI디지털리터러시 (논문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600"/>
        <w:gridCol w:w="1600"/>
        <w:gridCol w:w="1760"/>
      </w:tblGrid>
      <w:tr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강의 전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04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1주차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04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2~3주차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4주차 ★</w:t>
            </w:r>
          </w:p>
        </w:tc>
        <w:tc>
          <w:tcPr>
            <w:tcW w:type="dxa" w:w="17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04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5주차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활동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설문지 응답
(55문항, 20분)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AI/ML 이론
강의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엔트리 AI
블록 실습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생성형AI 활용
엔트리 작품 제작
(30분)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생성형AI
수업 설계
지도안 작성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연구 수집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예측변인 측정
(논문 1 독립변인)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프롬프트 전문
→ 루브릭 채점
(논문 1 종속변인)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제출물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Google Forms
또는 LMS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엔트리 URL
+ 프롬프트 전문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000" w:sz="1"/>
              <w:left w:val="single" w:color="F0A000" w:sz="12"/>
              <w:bottom w:val="single" w:color="F0A000" w:sz="1"/>
              <w:right w:val="single" w:color="F0A0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★ 4주차 2차시(50분): 생성형AI(Grok/Claude/Gemini)로 아이디어 구상 → 엔트리 작품 제작 → URL + 프롬프트 전문 제출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9"/>
                <w:szCs w:val="19"/>
              </w:rPr>
              <w:t xml:space="preserve">• 프롬프트 전문은 강의계획서 §10.2에 이미 명시된 제출 요건 (연구 목적으로 추가 요청 불필요)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9"/>
                <w:szCs w:val="19"/>
              </w:rPr>
              <w:t xml:space="preserve">• 논문 1은 단면 연구 — 사전 AI 질문 역량 측정 없음, 예측변인(설문) → 4주차 수행만 분석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320" w:after="16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3.2 사물인터넷과 빅데이터 (논문 2·3)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300"/>
        <w:gridCol w:w="1900"/>
        <w:gridCol w:w="1680"/>
        <w:gridCol w:w="1980"/>
      </w:tblGrid>
      <w:tr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1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04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1~4주차</w:t>
            </w:r>
          </w:p>
        </w:tc>
        <w:tc>
          <w:tcPr>
            <w:tcW w:type="dxa" w:w="1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2주차 ★
(사전)</w:t>
            </w:r>
          </w:p>
        </w:tc>
        <w:tc>
          <w:tcPr>
            <w:tcW w:type="dxa" w:w="1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04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5~8주차
(교육실습)</w:t>
            </w:r>
          </w:p>
        </w:tc>
        <w:tc>
          <w:tcPr>
            <w:tcW w:type="dxa" w:w="16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9~12주차 ★
(사후)</w:t>
            </w:r>
          </w:p>
        </w:tc>
        <w:tc>
          <w:tcPr>
            <w:tcW w:type="dxa" w:w="19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04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14~15주차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활동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오리엔테이션
마이크로비트
프로젝트 기획
데이터수집기 제작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바이브코딩
체험 과제
(Claude 활용)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실습학교에서
마이크로비트로
데이터 수집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바이브코딩
9주: 시각화
10주: 분석
11주: 분석심화
12주: AI모델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보고서 작성
최종 발표
피어평가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연구 수집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대화목록 → 루브릭
(사전 점수)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대화목록 → 루브릭
4주 평균
(사후 점수 주)
12주 단독
(사후 점수 보조)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제출물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대화목록 전문
+ 요약본 (PDF)
LMS 제출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대화목록 전문
+ 요약본 (PDF)
각 주차 LMS 제출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000" w:sz="1"/>
              <w:left w:val="single" w:color="F0A000" w:sz="12"/>
              <w:bottom w:val="single" w:color="F0A000" w:sz="1"/>
              <w:right w:val="single" w:color="F0A0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★ 사전(2주차): Claude로 바이브코딩 체험 — 대화목록 전문 + 요약본 PDF 제출 (강의계획서 §8.2 기존 과제)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★ 사후(9~12주차): 바이브코딩 시각화·분석·AI모델 — 각 주차 대화목록 PDF 제출 (강의계획서 §8.2~8.4 기존 과제)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9"/>
                <w:szCs w:val="19"/>
              </w:rPr>
              <w:t xml:space="preserve">• 사후 주 점수: 9·10·11·12주차 루브릭 4개 평균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9"/>
                <w:szCs w:val="19"/>
              </w:rPr>
              <w:t xml:space="preserve">• 사후 보조 점수: 12주차 단독 (가장 성숙한 시점, 결과 강건성 검토용)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9"/>
                <w:szCs w:val="19"/>
              </w:rPr>
              <w:t xml:space="preserve">• 대화목록은 이미 강의계획서에 명시된 제출 요건 — 연구 목적 추가 설명만 필요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1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4. 측정 도구</w:t>
      </w:r>
    </w:p>
    <w:p>
      <w:pPr>
        <w:spacing w:before="320" w:after="16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4.1 예측변인 설문지 (논문 1 독립변인, N=90)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200"/>
        <w:gridCol w:w="1560"/>
        <w:gridCol w:w="20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척도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문항 수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점수 범위</w:t>
            </w:r>
          </w:p>
        </w:tc>
        <w:tc>
          <w:tcPr>
            <w:tcW w:type="dxa" w:w="15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Cronbach's α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메타인지 (MAI)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Schraw &amp; Dennison (1994)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20문항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20~100점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.89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한국판 번안본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인지욕구 (NFC)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Cacioppo &amp; Petty (1982)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18문항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18~90점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.86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한국판 번안본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모호함인내 (AT)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McLain (1993)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12문항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12~60점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.82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한국형 개발본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AI경험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자체 개발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5문항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5~25점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.79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빈도·기간·숙련도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55문항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5점 Likert 척도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20" w:after="16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4.2 AI 질문 역량 루브릭 (종속변인, 논문 1·2·3 공통)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1480"/>
        <w:gridCol w:w="1480"/>
      </w:tblGrid>
      <w:tr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 영역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점수 범위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04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엔트리 핵심</w:t>
            </w:r>
          </w:p>
        </w:tc>
        <w:tc>
          <w:tcPr>
            <w:tcW w:type="dxa" w:w="14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바이브코딩 핵심</w:t>
            </w:r>
          </w:p>
        </w:tc>
        <w:tc>
          <w:tcPr>
            <w:tcW w:type="dxa" w:w="14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변경 여부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 초기 의도 표현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1~4점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목표·맥락·제약조건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데이터·분석목적·형식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 대화적 구체화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1~4점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기능 수정 요청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시각화 수정 요청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3. 반복적 정련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1~4점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대화 턴 수·질적 변화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대화 턴 수·질적 변화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4. 메타인지적 모니터링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1~4점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코딩 불일치 인식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데이터 불일치 인식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5. 최종 통합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1~4점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프로그램 완성도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해석+한계인식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★수정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총점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5~20점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2인 독립 채점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ICC ≥ .80 목표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※ 루브릭 전문: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E75B6"/>
          <w:sz w:val="20"/>
          <w:szCs w:val="20"/>
        </w:rPr>
        <w:t xml:space="preserve">AI질문역량_루브릭_v2.0_바이브코딩맥락추가.docx 참고</w:t>
      </w:r>
    </w:p>
    <w:p>
      <w:pPr>
        <w:spacing w:before="24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1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5. 변인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80"/>
        <w:gridCol w:w="1880"/>
        <w:gridCol w:w="2000"/>
      </w:tblGrid>
      <w:tr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논문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독립변인</w:t>
            </w:r>
          </w:p>
        </w:tc>
        <w:tc>
          <w:tcPr>
            <w:tcW w:type="dxa" w:w="2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종속변인</w:t>
            </w:r>
          </w:p>
        </w:tc>
        <w:tc>
          <w:tcPr>
            <w:tcW w:type="dxa" w:w="18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통제/조절변인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분석 방법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논문 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메타인지
인지욕구
모호함인내
AI경험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 질문 역량
(4주차 루브릭 점수)</w:t>
            </w:r>
          </w:p>
        </w:tc>
        <w:tc>
          <w:tcPr>
            <w:tcW w:type="dxa" w:w="1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1단계: AI경험
2단계: 인지적 성향
3변인 추가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Pearson 상관분석
위계적 회귀분석
(2단계)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논문 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처치
(바이브코딩
15주 강의)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 질문 역량
사전(2주차)
사후(9~12주 평균)</w:t>
            </w:r>
          </w:p>
        </w:tc>
        <w:tc>
          <w:tcPr>
            <w:tcW w:type="dxa" w:w="1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대응표본 t검정
Cohen's d
영역별 분석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논문 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향상도
(사후-사전)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향상도
(종속변인)</w:t>
            </w:r>
          </w:p>
        </w:tc>
        <w:tc>
          <w:tcPr>
            <w:tcW w:type="dxa" w:w="1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조절변인
메타인지 또는
AI경험 (1~2개)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위계적 회귀분석
조절효과 검증
(N=21 제한 반영)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1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6. 데이터 관리 및 채점 절차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75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 자료 수집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강의계획서 제출 요건에 따라 LMS에서 프롬프트 전문(PDF) 수거. 논문 1: 4주차 1개 파일/인, 논문 2·3: 2주차+9·10·11·12주차 총 5개 파일/인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 익명화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 부여 (P001~P090, V001~V021). 원본 파일은 연구자만 접근 가능한 별도 보관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3. 루브릭 채점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2인 독립 채점 → ICC 산출 → .80 이상 시 평균 사용, .80 미만 시 협의 또는 제3자 중재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4. 설문 점수화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역채점 문항 처리 후 영역 합산. SPSS 28.0 데이터 파일로 변환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5. 분석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SPSS 28.0: 기술통계 → 상관분석 → 위계적 회귀 / 대응표본 t검정 → 효과크기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6. 결과 보고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KCI 등재지 투고 형식 준수 (표·그림 APA 7판 스타일)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1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7. 연구 제약사항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제약사항</w:t>
            </w:r>
          </w:p>
        </w:tc>
        <w:tc>
          <w:tcPr>
            <w:tcW w:type="dxa" w:w="3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4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3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논문 1 사전 측정 없음
(단면 연구)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인과관계 추론 불가
예측 관계만 분석 가능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논문에 '예측변인 탐색'으로 명시
종단 연구의 필요성 제언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논문 2·3 N=21
(소규모 관찰연구)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통계적 검정력 제한
회귀변인 최대 2개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효과크기(Cohen's d) 보고
탐색적 연구로 위상 설정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과제 맥락 차이
(엔트리 vs 바이브코딩)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루브릭 구인 동일성 가정 필요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영역 5만 기준 수정
루브릭 타당도 논의에서 명시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대화목록 수거 의존성
(LMS 제출 기반)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미제출자 데이터 결측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강의계획서 제출 요건 활용
결측 시 목록별 삭제(listwise)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중복 수강자 21명
두 데이터셋 공유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독립성 가정 부분 위배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논문 간 표본 구분 명시
논문 3을 탐색적 성격으로 기술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1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8. 연구 준비물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280"/>
        <w:gridCol w:w="3280"/>
      </w:tblGrid>
      <w:tr>
        <w:tc>
          <w:tcPr>
            <w:tcW w:type="dxa" w:w="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2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예측변인 설문지 (55문항)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✅ 완성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설문지_논문1_AI질문역량_예측변인_v1.0.docx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 질문 역량 루브릭 v2.0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✅ 완성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AI질문역량_루브릭_v2.0_바이브코딩맥락추가.docx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IRB 신청서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⬜ 미작성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연구 시작 최소 4주 전 제출 필요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연구 참여 동의서 (성인용)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⬜ 미작성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두 강의 모두 동일 양식 사용 가능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채점자 훈련 자료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⬜ 미작성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루브릭 예시 사례 10개 이상 필요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LMS 자료 수거 계획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⬜ 미확인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프롬프트 전문 PDF 다운로드 방식 확인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SPSS 분석 코드 템플릿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⬜ 미작성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변인명·코딩 방식 사전 확정 필요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논문 1 초안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⬜ 미작성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다음 작업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논문 2 초안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⬜ 미작성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논문 1 이후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□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논문 3 초안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⬜ 미작성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논문 2 이후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320" w:after="16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문서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61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2026-03-01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최초 작성 — 논문 1·2·3 실험설계 전체 확정 정리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2026-03-01T08:50:10.292Z</dcterms:created>
  <dcterms:modified xsi:type="dcterms:W3CDTF">2026-03-01T08:50:10.292Z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