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AutoRewardsPC — Guia de Release e Versionamento</w:t>
      </w:r>
    </w:p>
    <w:p>
      <w:pPr>
        <w:pStyle w:val="Heading1"/>
      </w:pPr>
      <w:r>
        <w:t>1. Objetivo</w:t>
      </w:r>
    </w:p>
    <w:p>
      <w:r>
        <w:t>Este documento define o padrão oficial de versionamento e release do AutoRewardsPC, garantindo evolução controlada do sistema sem quebra de compatibilidade.</w:t>
      </w:r>
    </w:p>
    <w:p>
      <w:pPr>
        <w:pStyle w:val="Heading1"/>
      </w:pPr>
      <w:r>
        <w:t>2. Modelo de Versionamento</w:t>
      </w:r>
    </w:p>
    <w:p>
      <w:r>
        <w:t>O AutoRewardsPC utiliza versionamento semântico (Semantic Versioning):</w:t>
      </w:r>
    </w:p>
    <w:p>
      <w:r>
        <w:t>MAJOR.MINOR.PATCH</w:t>
        <w:br/>
        <w:br/>
        <w:t>MAJOR → Mudanças estruturais ou incompatíveis.</w:t>
        <w:br/>
        <w:t>MINOR → Novas funcionalidades compatíveis.</w:t>
        <w:br/>
        <w:t>PATCH → Correções de bugs sem alteração de comportamento.</w:t>
      </w:r>
    </w:p>
    <w:p>
      <w:pPr>
        <w:pStyle w:val="Heading1"/>
      </w:pPr>
      <w:r>
        <w:t>3. Regras de Release</w:t>
      </w:r>
    </w:p>
    <w:p>
      <w:r>
        <w:t>- Nunca alterar formato do calibration.json sem incremento MAJOR.</w:t>
        <w:br/>
        <w:t>- Sempre testar automação em pelo menos uma resolução padrão.</w:t>
        <w:br/>
        <w:t>- Validar importação/exportação de calibrações antes da distribuição.</w:t>
      </w:r>
    </w:p>
    <w:p>
      <w:pPr>
        <w:pStyle w:val="Heading1"/>
      </w:pPr>
      <w:r>
        <w:t>4. Checklist Pré-Release</w:t>
      </w:r>
    </w:p>
    <w:p>
      <w:r>
        <w:t>- Automação inicia e finaliza corretamente.</w:t>
        <w:br/>
        <w:t>- Botão parar funciona em execução.</w:t>
        <w:br/>
        <w:t>- Logs exibidos corretamente.</w:t>
        <w:br/>
        <w:t>- Calibração salva e restaurada sem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