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D245" w14:textId="77777777" w:rsidR="00E42F03" w:rsidRDefault="00000000">
      <w:pPr>
        <w:pStyle w:val="Titolo1"/>
      </w:pPr>
      <w:bookmarkStart w:id="0" w:name="executive-technical-overview"/>
      <w:r>
        <w:t>Executive Technical Overview</w:t>
      </w:r>
    </w:p>
    <w:p w14:paraId="52328DC9" w14:textId="77777777" w:rsidR="00E42F03" w:rsidRDefault="00000000">
      <w:pPr>
        <w:pStyle w:val="Titolo2"/>
      </w:pPr>
      <w:bookmarkStart w:id="1" w:name="system-purpose"/>
      <w:r>
        <w:t>System Purpose</w:t>
      </w:r>
    </w:p>
    <w:p w14:paraId="7876475C" w14:textId="51E0E1EC" w:rsidR="00E42F03" w:rsidRDefault="00000000">
      <w:pPr>
        <w:pStyle w:val="FirstParagraph"/>
      </w:pPr>
      <w:r>
        <w:t xml:space="preserve">SIMOG </w:t>
      </w:r>
      <w:r w:rsidR="00007086">
        <w:t xml:space="preserve">is </w:t>
      </w:r>
      <w:r>
        <w:t>a public-sector procurement lifecycle management and monitoring platform. Evidence from package names, JSP names, XML schema names, and service methods indicates support for tender registration, lot management, publication, award/perfection flows, contract updates, workflow validation, and external interoperability.</w:t>
      </w:r>
    </w:p>
    <w:p w14:paraId="6C9C917A" w14:textId="77777777" w:rsidR="00E42F03" w:rsidRDefault="00000000">
      <w:pPr>
        <w:pStyle w:val="Corpotesto"/>
      </w:pPr>
      <w:r>
        <w:t>Evidence:</w:t>
      </w:r>
    </w:p>
    <w:p w14:paraId="4D85D54E" w14:textId="77777777" w:rsidR="00E42F0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SimogWeb/WebContent/WEB-INF/web.xml</w:t>
      </w:r>
    </w:p>
    <w:p w14:paraId="2254DF0A" w14:textId="77777777" w:rsidR="00E42F0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SimogCommon/src/it/avlp/simog/garamanager/*</w:t>
      </w:r>
    </w:p>
    <w:p w14:paraId="2CFD43F9" w14:textId="77777777" w:rsidR="00E42F0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SimogWSPDD/src/it/avlp/simog/ws/endpoint/SimogWSPDD.java</w:t>
      </w:r>
    </w:p>
    <w:p w14:paraId="0B2569EC" w14:textId="77777777" w:rsidR="00E42F0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XSD/GaraWS.xsd</w:t>
      </w:r>
    </w:p>
    <w:p w14:paraId="355D3AA2" w14:textId="77777777" w:rsidR="00E42F0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XSD/LottoWS.xsd</w:t>
      </w:r>
    </w:p>
    <w:p w14:paraId="549F1FA8" w14:textId="77777777" w:rsidR="00E42F03" w:rsidRDefault="00000000">
      <w:pPr>
        <w:pStyle w:val="Titolo2"/>
      </w:pPr>
      <w:bookmarkStart w:id="2" w:name="business-domain-covered"/>
      <w:bookmarkEnd w:id="1"/>
      <w:r>
        <w:t>Business Domain Covered</w:t>
      </w:r>
    </w:p>
    <w:p w14:paraId="778E62D1" w14:textId="77777777" w:rsidR="00E42F03" w:rsidRDefault="00000000">
      <w:pPr>
        <w:pStyle w:val="FirstParagraph"/>
      </w:pPr>
      <w:r>
        <w:t>The source code indicates management of public procurement procedures, tenders, lots, publications, award information, interoperability tickets/sessions, administrative registries, and TED publication processes.</w:t>
      </w:r>
    </w:p>
    <w:p w14:paraId="2C71F69F" w14:textId="77777777" w:rsidR="00E42F03" w:rsidRDefault="00000000">
      <w:pPr>
        <w:pStyle w:val="Corpotesto"/>
      </w:pPr>
      <w:r>
        <w:t>Representative evidence:</w:t>
      </w:r>
    </w:p>
    <w:p w14:paraId="2B0EEDA2" w14:textId="77777777" w:rsidR="00E42F0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GaraManager</w:t>
      </w:r>
      <w:r>
        <w:t xml:space="preserve">, </w:t>
      </w:r>
      <w:r>
        <w:rPr>
          <w:rStyle w:val="VerbatimChar"/>
        </w:rPr>
        <w:t>LottoManager</w:t>
      </w:r>
      <w:r>
        <w:t xml:space="preserve">, </w:t>
      </w:r>
      <w:r>
        <w:rPr>
          <w:rStyle w:val="VerbatimChar"/>
        </w:rPr>
        <w:t>PubblicazioneBandoManager</w:t>
      </w:r>
      <w:r>
        <w:t xml:space="preserve">, </w:t>
      </w:r>
      <w:r>
        <w:rPr>
          <w:rStyle w:val="VerbatimChar"/>
        </w:rPr>
        <w:t>PubblicazioneAggiudicazioneManager</w:t>
      </w:r>
    </w:p>
    <w:p w14:paraId="76BF1858" w14:textId="77777777" w:rsidR="00E42F03" w:rsidRDefault="00000000">
      <w:pPr>
        <w:pStyle w:val="Compact"/>
        <w:numPr>
          <w:ilvl w:val="0"/>
          <w:numId w:val="3"/>
        </w:numPr>
      </w:pPr>
      <w:r>
        <w:t xml:space="preserve">TED classes under </w:t>
      </w:r>
      <w:r>
        <w:rPr>
          <w:rStyle w:val="VerbatimChar"/>
        </w:rPr>
        <w:t>it.anticorruzione.ted.*</w:t>
      </w:r>
    </w:p>
    <w:p w14:paraId="1C15E686" w14:textId="77777777" w:rsidR="00E42F03" w:rsidRDefault="00000000">
      <w:pPr>
        <w:pStyle w:val="Compact"/>
        <w:numPr>
          <w:ilvl w:val="0"/>
          <w:numId w:val="3"/>
        </w:numPr>
      </w:pPr>
      <w:r>
        <w:t xml:space="preserve">service operations such as </w:t>
      </w:r>
      <w:r>
        <w:rPr>
          <w:rStyle w:val="VerbatimChar"/>
        </w:rPr>
        <w:t>inserisciGara</w:t>
      </w:r>
      <w:r>
        <w:t xml:space="preserve">, </w:t>
      </w:r>
      <w:r>
        <w:rPr>
          <w:rStyle w:val="VerbatimChar"/>
        </w:rPr>
        <w:t>modificaLotto</w:t>
      </w:r>
      <w:r>
        <w:t xml:space="preserve">, </w:t>
      </w:r>
      <w:r>
        <w:rPr>
          <w:rStyle w:val="VerbatimChar"/>
        </w:rPr>
        <w:t>perfezionaLotto</w:t>
      </w:r>
      <w:r>
        <w:t xml:space="preserve">, </w:t>
      </w:r>
      <w:r>
        <w:rPr>
          <w:rStyle w:val="VerbatimChar"/>
        </w:rPr>
        <w:t>integraCUP</w:t>
      </w:r>
      <w:r>
        <w:t xml:space="preserve">, </w:t>
      </w:r>
      <w:r>
        <w:rPr>
          <w:rStyle w:val="VerbatimChar"/>
        </w:rPr>
        <w:t>inviaAggiudicazioneTED</w:t>
      </w:r>
    </w:p>
    <w:p w14:paraId="0F397494" w14:textId="77777777" w:rsidR="00E42F03" w:rsidRDefault="00000000">
      <w:pPr>
        <w:pStyle w:val="Titolo2"/>
      </w:pPr>
      <w:bookmarkStart w:id="3" w:name="high-level-functional-scope"/>
      <w:bookmarkEnd w:id="2"/>
      <w:r>
        <w:t>High-Level Functional Scope</w:t>
      </w:r>
    </w:p>
    <w:p w14:paraId="2A3A19B3" w14:textId="77777777" w:rsidR="00E42F03" w:rsidRDefault="00000000">
      <w:pPr>
        <w:pStyle w:val="Compact"/>
        <w:numPr>
          <w:ilvl w:val="0"/>
          <w:numId w:val="4"/>
        </w:numPr>
      </w:pPr>
      <w:r>
        <w:t>Web UI for internal or authenticated operator use</w:t>
      </w:r>
    </w:p>
    <w:p w14:paraId="11F8A9E4" w14:textId="77777777" w:rsidR="00E42F03" w:rsidRDefault="00000000">
      <w:pPr>
        <w:pStyle w:val="Compact"/>
        <w:numPr>
          <w:ilvl w:val="0"/>
          <w:numId w:val="4"/>
        </w:numPr>
      </w:pPr>
      <w:r>
        <w:t>SOAP service exposure for external system interoperability</w:t>
      </w:r>
    </w:p>
    <w:p w14:paraId="0B9A5CB5" w14:textId="77777777" w:rsidR="00E42F03" w:rsidRDefault="00000000">
      <w:pPr>
        <w:pStyle w:val="Compact"/>
        <w:numPr>
          <w:ilvl w:val="0"/>
          <w:numId w:val="4"/>
        </w:numPr>
      </w:pPr>
      <w:r>
        <w:t>Authentication through local/remote/IAA-connected login logic</w:t>
      </w:r>
    </w:p>
    <w:p w14:paraId="3BE34D2B" w14:textId="77777777" w:rsidR="00E42F03" w:rsidRDefault="00000000">
      <w:pPr>
        <w:pStyle w:val="Compact"/>
        <w:numPr>
          <w:ilvl w:val="0"/>
          <w:numId w:val="4"/>
        </w:numPr>
      </w:pPr>
      <w:r>
        <w:t>Workflow/state enforcement for procurement forms and procedural phases</w:t>
      </w:r>
    </w:p>
    <w:p w14:paraId="1A14340E" w14:textId="77777777" w:rsidR="00E42F03" w:rsidRDefault="00000000">
      <w:pPr>
        <w:pStyle w:val="Compact"/>
        <w:numPr>
          <w:ilvl w:val="0"/>
          <w:numId w:val="4"/>
        </w:numPr>
      </w:pPr>
      <w:r>
        <w:t>Batch mass-loading of procurement data through XML files</w:t>
      </w:r>
    </w:p>
    <w:p w14:paraId="141DB0DD" w14:textId="77777777" w:rsidR="00E42F03" w:rsidRDefault="00000000">
      <w:pPr>
        <w:pStyle w:val="Compact"/>
        <w:numPr>
          <w:ilvl w:val="0"/>
          <w:numId w:val="4"/>
        </w:numPr>
      </w:pPr>
      <w:r>
        <w:t>TED-specific outbound publication and delta management</w:t>
      </w:r>
    </w:p>
    <w:p w14:paraId="5216D577" w14:textId="77777777" w:rsidR="00E42F03" w:rsidRDefault="00000000">
      <w:pPr>
        <w:pStyle w:val="Titolo2"/>
      </w:pPr>
      <w:bookmarkStart w:id="4" w:name="primary-user-categories"/>
      <w:bookmarkEnd w:id="3"/>
      <w:r>
        <w:t>Primary User Categories</w:t>
      </w:r>
    </w:p>
    <w:p w14:paraId="51082580" w14:textId="77777777" w:rsidR="00E42F03" w:rsidRDefault="00000000">
      <w:pPr>
        <w:pStyle w:val="FirstParagraph"/>
      </w:pPr>
      <w:r>
        <w:t>The exact organizational roles are not fully documented in code, but the following actor categories are strongly suggested:</w:t>
      </w:r>
    </w:p>
    <w:p w14:paraId="40936F39" w14:textId="77777777" w:rsidR="00E42F03" w:rsidRDefault="00000000">
      <w:pPr>
        <w:pStyle w:val="Compact"/>
        <w:numPr>
          <w:ilvl w:val="0"/>
          <w:numId w:val="5"/>
        </w:numPr>
      </w:pPr>
      <w:r>
        <w:t>internal application operators managing tenders, lots, and procurement records</w:t>
      </w:r>
    </w:p>
    <w:p w14:paraId="731EC1BC" w14:textId="77777777" w:rsidR="00E42F03" w:rsidRDefault="00000000">
      <w:pPr>
        <w:pStyle w:val="Compact"/>
        <w:numPr>
          <w:ilvl w:val="0"/>
          <w:numId w:val="5"/>
        </w:numPr>
      </w:pPr>
      <w:r>
        <w:t>external interoperating systems invoking SOAP services</w:t>
      </w:r>
    </w:p>
    <w:p w14:paraId="7DFB35F1" w14:textId="77777777" w:rsidR="00E42F03" w:rsidRDefault="00000000">
      <w:pPr>
        <w:pStyle w:val="Compact"/>
        <w:numPr>
          <w:ilvl w:val="0"/>
          <w:numId w:val="5"/>
        </w:numPr>
      </w:pPr>
      <w:r>
        <w:lastRenderedPageBreak/>
        <w:t>administrative users handling configuration, registries, or profile selection</w:t>
      </w:r>
    </w:p>
    <w:p w14:paraId="29514714" w14:textId="77777777" w:rsidR="00E42F03" w:rsidRDefault="00000000">
      <w:pPr>
        <w:pStyle w:val="Compact"/>
        <w:numPr>
          <w:ilvl w:val="0"/>
          <w:numId w:val="5"/>
        </w:numPr>
      </w:pPr>
      <w:r>
        <w:t>batch operators or support teams running the mass-loader</w:t>
      </w:r>
    </w:p>
    <w:p w14:paraId="2E208CBA" w14:textId="77777777" w:rsidR="00E42F03" w:rsidRDefault="00000000">
      <w:pPr>
        <w:pStyle w:val="Compact"/>
        <w:numPr>
          <w:ilvl w:val="0"/>
          <w:numId w:val="5"/>
        </w:numPr>
      </w:pPr>
      <w:r>
        <w:t>TED-related operators or background support staff managing publication flows</w:t>
      </w:r>
    </w:p>
    <w:p w14:paraId="31C399D5" w14:textId="77777777" w:rsidR="00E42F03" w:rsidRDefault="00000000">
      <w:pPr>
        <w:pStyle w:val="FirstParagraph"/>
      </w:pPr>
      <w:r>
        <w:t>This is partly inferred from servlet names, role checks, login/profile logic, and endpoint design.</w:t>
      </w:r>
    </w:p>
    <w:p w14:paraId="37F14730" w14:textId="77777777" w:rsidR="00E42F03" w:rsidRDefault="00000000">
      <w:pPr>
        <w:pStyle w:val="Titolo2"/>
      </w:pPr>
      <w:bookmarkStart w:id="5" w:name="architectural-style"/>
      <w:bookmarkEnd w:id="4"/>
      <w:r>
        <w:t>Architectural Style</w:t>
      </w:r>
    </w:p>
    <w:p w14:paraId="3E44C8DD" w14:textId="77777777" w:rsidR="00E42F03" w:rsidRDefault="00000000">
      <w:pPr>
        <w:pStyle w:val="FirstParagraph"/>
      </w:pPr>
      <w:r>
        <w:t>SIMOG uses a hybrid legacy enterprise architecture:</w:t>
      </w:r>
    </w:p>
    <w:p w14:paraId="6FDAAA9D" w14:textId="77777777" w:rsidR="00E42F03" w:rsidRDefault="00000000">
      <w:pPr>
        <w:pStyle w:val="Compact"/>
        <w:numPr>
          <w:ilvl w:val="0"/>
          <w:numId w:val="6"/>
        </w:numPr>
      </w:pPr>
      <w:r>
        <w:t>server-side JSP/Servlet web application</w:t>
      </w:r>
    </w:p>
    <w:p w14:paraId="32D02B31" w14:textId="77777777" w:rsidR="00E42F03" w:rsidRDefault="00000000">
      <w:pPr>
        <w:pStyle w:val="Compact"/>
        <w:numPr>
          <w:ilvl w:val="0"/>
          <w:numId w:val="6"/>
        </w:numPr>
      </w:pPr>
      <w:r>
        <w:t>procedural service/controller pattern around servlets and action classes</w:t>
      </w:r>
    </w:p>
    <w:p w14:paraId="7715CED7" w14:textId="77777777" w:rsidR="00E42F03" w:rsidRDefault="00000000">
      <w:pPr>
        <w:pStyle w:val="Compact"/>
        <w:numPr>
          <w:ilvl w:val="0"/>
          <w:numId w:val="6"/>
        </w:numPr>
      </w:pPr>
      <w:r>
        <w:t>business logic concentrated in large manager classes</w:t>
      </w:r>
    </w:p>
    <w:p w14:paraId="1AACF85B" w14:textId="77777777" w:rsidR="00E42F03" w:rsidRDefault="00000000">
      <w:pPr>
        <w:pStyle w:val="Compact"/>
        <w:numPr>
          <w:ilvl w:val="0"/>
          <w:numId w:val="6"/>
        </w:numPr>
      </w:pPr>
      <w:r>
        <w:t>direct JDBC-based persistence in the core modules</w:t>
      </w:r>
    </w:p>
    <w:p w14:paraId="78C08469" w14:textId="77777777" w:rsidR="00E42F03" w:rsidRDefault="00000000">
      <w:pPr>
        <w:pStyle w:val="Compact"/>
        <w:numPr>
          <w:ilvl w:val="0"/>
          <w:numId w:val="6"/>
        </w:numPr>
      </w:pPr>
      <w:r>
        <w:t>SOAP-oriented service exposure and SOAP client integrations</w:t>
      </w:r>
    </w:p>
    <w:p w14:paraId="0CA4A9AF" w14:textId="77777777" w:rsidR="00E42F03" w:rsidRDefault="00000000">
      <w:pPr>
        <w:pStyle w:val="Compact"/>
        <w:numPr>
          <w:ilvl w:val="0"/>
          <w:numId w:val="6"/>
        </w:numPr>
      </w:pPr>
      <w:r>
        <w:t>a separate JPA-based subsystem for TED data management</w:t>
      </w:r>
    </w:p>
    <w:p w14:paraId="240E43AA" w14:textId="77777777" w:rsidR="00E42F03" w:rsidRDefault="00000000">
      <w:pPr>
        <w:pStyle w:val="FirstParagraph"/>
      </w:pPr>
      <w:r>
        <w:t>This is not a modern dependency-injected layered framework. The architecture is modular at build level but tightly coupled at code level around common managers, shared configuration, and shared DB helpers.</w:t>
      </w:r>
    </w:p>
    <w:p w14:paraId="5246A739" w14:textId="77777777" w:rsidR="00E42F03" w:rsidRDefault="00000000">
      <w:pPr>
        <w:pStyle w:val="Titolo2"/>
      </w:pPr>
      <w:bookmarkStart w:id="6" w:name="key-technologies"/>
      <w:bookmarkEnd w:id="5"/>
      <w:r>
        <w:t>Key Technologies</w:t>
      </w:r>
    </w:p>
    <w:p w14:paraId="7B8A2712" w14:textId="77777777" w:rsidR="00E42F03" w:rsidRDefault="00000000">
      <w:pPr>
        <w:pStyle w:val="Compact"/>
        <w:numPr>
          <w:ilvl w:val="0"/>
          <w:numId w:val="7"/>
        </w:numPr>
      </w:pPr>
      <w:r>
        <w:t>Java 6 level configuration in Maven parent</w:t>
      </w:r>
    </w:p>
    <w:p w14:paraId="7E09D6EB" w14:textId="77777777" w:rsidR="00E42F03" w:rsidRDefault="00000000">
      <w:pPr>
        <w:pStyle w:val="Compact"/>
        <w:numPr>
          <w:ilvl w:val="0"/>
          <w:numId w:val="7"/>
        </w:numPr>
      </w:pPr>
      <w:r>
        <w:t>Maven multi-module build</w:t>
      </w:r>
    </w:p>
    <w:p w14:paraId="5A86FF76" w14:textId="77777777" w:rsidR="00E42F03" w:rsidRDefault="00000000">
      <w:pPr>
        <w:pStyle w:val="Compact"/>
        <w:numPr>
          <w:ilvl w:val="0"/>
          <w:numId w:val="7"/>
        </w:numPr>
      </w:pPr>
      <w:r>
        <w:t xml:space="preserve">one Ant build file for </w:t>
      </w:r>
      <w:r>
        <w:rPr>
          <w:rStyle w:val="VerbatimChar"/>
        </w:rPr>
        <w:t>SimogXmlBeansPDD</w:t>
      </w:r>
    </w:p>
    <w:p w14:paraId="08034915" w14:textId="77777777" w:rsidR="00E42F03" w:rsidRDefault="00000000">
      <w:pPr>
        <w:pStyle w:val="Compact"/>
        <w:numPr>
          <w:ilvl w:val="0"/>
          <w:numId w:val="7"/>
        </w:numPr>
      </w:pPr>
      <w:r>
        <w:t>JSP, Servlets, Filters</w:t>
      </w:r>
    </w:p>
    <w:p w14:paraId="01175DBC" w14:textId="77777777" w:rsidR="00E42F03" w:rsidRDefault="00000000">
      <w:pPr>
        <w:pStyle w:val="Compact"/>
        <w:numPr>
          <w:ilvl w:val="0"/>
          <w:numId w:val="7"/>
        </w:numPr>
      </w:pPr>
      <w:r>
        <w:t xml:space="preserve">Axis servlet exposure in </w:t>
      </w:r>
      <w:r>
        <w:rPr>
          <w:rStyle w:val="VerbatimChar"/>
        </w:rPr>
        <w:t>SimogWeb</w:t>
      </w:r>
    </w:p>
    <w:p w14:paraId="7873A420" w14:textId="77777777" w:rsidR="00E42F03" w:rsidRDefault="00000000">
      <w:pPr>
        <w:pStyle w:val="Compact"/>
        <w:numPr>
          <w:ilvl w:val="0"/>
          <w:numId w:val="7"/>
        </w:numPr>
      </w:pPr>
      <w:r>
        <w:t>JAX-WS annotated endpoints in WS WARs</w:t>
      </w:r>
    </w:p>
    <w:p w14:paraId="076C4DA0" w14:textId="77777777" w:rsidR="00E42F03" w:rsidRDefault="00000000">
      <w:pPr>
        <w:pStyle w:val="Compact"/>
        <w:numPr>
          <w:ilvl w:val="0"/>
          <w:numId w:val="7"/>
        </w:numPr>
      </w:pPr>
      <w:r>
        <w:t>JAX-RPC/Axis-generated stubs for some integrations</w:t>
      </w:r>
    </w:p>
    <w:p w14:paraId="60EAA4A7" w14:textId="77777777" w:rsidR="00E42F03" w:rsidRDefault="00000000">
      <w:pPr>
        <w:pStyle w:val="Compact"/>
        <w:numPr>
          <w:ilvl w:val="0"/>
          <w:numId w:val="7"/>
        </w:numPr>
      </w:pPr>
      <w:r>
        <w:t>JDBC with manual transaction management</w:t>
      </w:r>
    </w:p>
    <w:p w14:paraId="24BB76FB" w14:textId="77777777" w:rsidR="00E42F03" w:rsidRDefault="00000000">
      <w:pPr>
        <w:pStyle w:val="Compact"/>
        <w:numPr>
          <w:ilvl w:val="0"/>
          <w:numId w:val="7"/>
        </w:numPr>
      </w:pPr>
      <w:r>
        <w:t>JPA in TED subsystem</w:t>
      </w:r>
    </w:p>
    <w:p w14:paraId="46D04CA1" w14:textId="77777777" w:rsidR="00E42F03" w:rsidRDefault="00000000">
      <w:pPr>
        <w:pStyle w:val="Compact"/>
        <w:numPr>
          <w:ilvl w:val="0"/>
          <w:numId w:val="7"/>
        </w:numPr>
      </w:pPr>
      <w:r>
        <w:t>Log4j logging</w:t>
      </w:r>
    </w:p>
    <w:p w14:paraId="4018A756" w14:textId="77777777" w:rsidR="00E42F03" w:rsidRDefault="00000000">
      <w:pPr>
        <w:pStyle w:val="Compact"/>
        <w:numPr>
          <w:ilvl w:val="0"/>
          <w:numId w:val="7"/>
        </w:numPr>
      </w:pPr>
      <w:r>
        <w:t>XML/XSD/WSDL-heavy interoperability</w:t>
      </w:r>
    </w:p>
    <w:p w14:paraId="0CD868D5" w14:textId="77777777" w:rsidR="00E42F03" w:rsidRDefault="00000000">
      <w:pPr>
        <w:pStyle w:val="Titolo2"/>
      </w:pPr>
      <w:bookmarkStart w:id="7" w:name="main-integration-points"/>
      <w:bookmarkEnd w:id="6"/>
      <w:r>
        <w:t>Main Integration Points</w:t>
      </w:r>
    </w:p>
    <w:p w14:paraId="653A7E01" w14:textId="77777777" w:rsidR="00E42F03" w:rsidRDefault="00000000">
      <w:pPr>
        <w:pStyle w:val="FirstParagraph"/>
      </w:pPr>
      <w:r>
        <w:t>Visible integration families include:</w:t>
      </w:r>
    </w:p>
    <w:p w14:paraId="1000E946" w14:textId="77777777" w:rsidR="00E42F03" w:rsidRDefault="00000000">
      <w:pPr>
        <w:pStyle w:val="Compact"/>
        <w:numPr>
          <w:ilvl w:val="0"/>
          <w:numId w:val="8"/>
        </w:numPr>
      </w:pPr>
      <w:r>
        <w:t>external login/IAM or IAA-related authentication services</w:t>
      </w:r>
    </w:p>
    <w:p w14:paraId="0E01CE0B" w14:textId="77777777" w:rsidR="00E42F03" w:rsidRDefault="00000000">
      <w:pPr>
        <w:pStyle w:val="Compact"/>
        <w:numPr>
          <w:ilvl w:val="0"/>
          <w:numId w:val="8"/>
        </w:numPr>
      </w:pPr>
      <w:r>
        <w:t>Anagrafe services</w:t>
      </w:r>
    </w:p>
    <w:p w14:paraId="764A2488" w14:textId="77777777" w:rsidR="00E42F03" w:rsidRDefault="00000000">
      <w:pPr>
        <w:pStyle w:val="Compact"/>
        <w:numPr>
          <w:ilvl w:val="0"/>
          <w:numId w:val="8"/>
        </w:numPr>
      </w:pPr>
      <w:r>
        <w:t>CUP services (</w:t>
      </w:r>
      <w:r>
        <w:rPr>
          <w:rStyle w:val="VerbatimChar"/>
        </w:rPr>
        <w:t>it.mef.serviziCUP</w:t>
      </w:r>
      <w:r>
        <w:t>)</w:t>
      </w:r>
    </w:p>
    <w:p w14:paraId="15685983" w14:textId="77777777" w:rsidR="00E42F03" w:rsidRDefault="00000000">
      <w:pPr>
        <w:pStyle w:val="Compact"/>
        <w:numPr>
          <w:ilvl w:val="0"/>
          <w:numId w:val="8"/>
        </w:numPr>
      </w:pPr>
      <w:r>
        <w:t>AVCpass-related services</w:t>
      </w:r>
    </w:p>
    <w:p w14:paraId="5F3EC3D7" w14:textId="77777777" w:rsidR="00E42F03" w:rsidRDefault="00000000">
      <w:pPr>
        <w:pStyle w:val="Compact"/>
        <w:numPr>
          <w:ilvl w:val="0"/>
          <w:numId w:val="8"/>
        </w:numPr>
      </w:pPr>
      <w:r>
        <w:t>AUSA-related services</w:t>
      </w:r>
    </w:p>
    <w:p w14:paraId="05EBF35D" w14:textId="77777777" w:rsidR="00E42F03" w:rsidRDefault="00000000">
      <w:pPr>
        <w:pStyle w:val="Compact"/>
        <w:numPr>
          <w:ilvl w:val="0"/>
          <w:numId w:val="8"/>
        </w:numPr>
      </w:pPr>
      <w:r>
        <w:t>TED publication subsystem</w:t>
      </w:r>
    </w:p>
    <w:p w14:paraId="47E3EB9C" w14:textId="77777777" w:rsidR="00E42F03" w:rsidRDefault="00000000">
      <w:pPr>
        <w:pStyle w:val="Compact"/>
        <w:numPr>
          <w:ilvl w:val="0"/>
          <w:numId w:val="8"/>
        </w:numPr>
      </w:pPr>
      <w:r>
        <w:t>SOAP consumers invoking SIMOG service endpoints</w:t>
      </w:r>
    </w:p>
    <w:p w14:paraId="0DD29BB0" w14:textId="77777777" w:rsidR="00E42F03" w:rsidRDefault="00000000">
      <w:pPr>
        <w:pStyle w:val="Titolo2"/>
      </w:pPr>
      <w:bookmarkStart w:id="8" w:name="overall-technical-characteristics"/>
      <w:bookmarkEnd w:id="7"/>
      <w:r>
        <w:lastRenderedPageBreak/>
        <w:t>Overall Technical Characteristics</w:t>
      </w:r>
    </w:p>
    <w:p w14:paraId="63AB6482" w14:textId="77777777" w:rsidR="00E42F03" w:rsidRDefault="00000000">
      <w:pPr>
        <w:pStyle w:val="Compact"/>
        <w:numPr>
          <w:ilvl w:val="0"/>
          <w:numId w:val="9"/>
        </w:numPr>
      </w:pPr>
      <w:r>
        <w:t>legacy but still actively integrated enterprise application</w:t>
      </w:r>
    </w:p>
    <w:p w14:paraId="413BCA8F" w14:textId="77777777" w:rsidR="00E42F03" w:rsidRDefault="00000000">
      <w:pPr>
        <w:pStyle w:val="Compact"/>
        <w:numPr>
          <w:ilvl w:val="0"/>
          <w:numId w:val="9"/>
        </w:numPr>
      </w:pPr>
      <w:r>
        <w:t>DB-centric design with strong coupling between business rules and persistence</w:t>
      </w:r>
    </w:p>
    <w:p w14:paraId="2DD6A90A" w14:textId="77777777" w:rsidR="00E42F03" w:rsidRDefault="00000000">
      <w:pPr>
        <w:pStyle w:val="Compact"/>
        <w:numPr>
          <w:ilvl w:val="0"/>
          <w:numId w:val="9"/>
        </w:numPr>
      </w:pPr>
      <w:r>
        <w:t>large operational dependence on container configuration and external property files</w:t>
      </w:r>
    </w:p>
    <w:p w14:paraId="1F1FBD5A" w14:textId="77777777" w:rsidR="00E42F03" w:rsidRDefault="00000000">
      <w:pPr>
        <w:pStyle w:val="Compact"/>
        <w:numPr>
          <w:ilvl w:val="0"/>
          <w:numId w:val="9"/>
        </w:numPr>
      </w:pPr>
      <w:r>
        <w:t>multiple independently deployable WARs</w:t>
      </w:r>
    </w:p>
    <w:p w14:paraId="1FAFDB92" w14:textId="77777777" w:rsidR="00E42F03" w:rsidRDefault="00000000">
      <w:pPr>
        <w:pStyle w:val="Compact"/>
        <w:numPr>
          <w:ilvl w:val="0"/>
          <w:numId w:val="9"/>
        </w:numPr>
      </w:pPr>
      <w:r>
        <w:t>strong reliance on XML contracts, schemas, and generated artifacts</w:t>
      </w:r>
    </w:p>
    <w:p w14:paraId="38873A85" w14:textId="77777777" w:rsidR="00E42F03" w:rsidRDefault="00000000">
      <w:pPr>
        <w:pStyle w:val="Compact"/>
        <w:numPr>
          <w:ilvl w:val="0"/>
          <w:numId w:val="9"/>
        </w:numPr>
      </w:pPr>
      <w:r>
        <w:t>sparse automated test evidence</w:t>
      </w:r>
    </w:p>
    <w:p w14:paraId="36DCC8EC" w14:textId="77777777" w:rsidR="00E42F03" w:rsidRDefault="00000000">
      <w:pPr>
        <w:pStyle w:val="Titolo2"/>
      </w:pPr>
      <w:bookmarkStart w:id="9" w:name="likely-operational-context"/>
      <w:bookmarkEnd w:id="8"/>
      <w:r>
        <w:t>Likely Operational Context</w:t>
      </w:r>
    </w:p>
    <w:p w14:paraId="4F14DFF3" w14:textId="77777777" w:rsidR="00E42F03" w:rsidRDefault="00000000">
      <w:pPr>
        <w:pStyle w:val="FirstParagraph"/>
      </w:pPr>
      <w:r>
        <w:t xml:space="preserve">The system is designed for deployment in a Java EE-style application server with JNDI datasource support and WAR deployment. JBoss descriptors are present in the web modules, and </w:t>
      </w:r>
      <w:r>
        <w:rPr>
          <w:rStyle w:val="VerbatimChar"/>
        </w:rPr>
        <w:t>web.xml</w:t>
      </w:r>
      <w:r>
        <w:t xml:space="preserve"> plus datasource lookup patterns indicate container-managed hosting rather than embedded runtime packaging.</w:t>
      </w:r>
    </w:p>
    <w:p w14:paraId="6EE03B6D" w14:textId="77777777" w:rsidR="00E42F03" w:rsidRDefault="00000000">
      <w:pPr>
        <w:pStyle w:val="Corpotesto"/>
      </w:pPr>
      <w:r>
        <w:t>Evidence:</w:t>
      </w:r>
    </w:p>
    <w:p w14:paraId="2B54AFBF" w14:textId="77777777" w:rsidR="00E42F0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*/WebContent/WEB-INF/jboss-web.xml</w:t>
      </w:r>
    </w:p>
    <w:p w14:paraId="6AE702A2" w14:textId="77777777" w:rsidR="00E42F0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*/WebContent/META-INF/jboss-classloading.xml</w:t>
      </w:r>
    </w:p>
    <w:p w14:paraId="3B5CEF4C" w14:textId="77777777" w:rsidR="00E42F03" w:rsidRDefault="00000000">
      <w:pPr>
        <w:pStyle w:val="Compact"/>
        <w:numPr>
          <w:ilvl w:val="0"/>
          <w:numId w:val="10"/>
        </w:numPr>
      </w:pPr>
      <w:r>
        <w:t xml:space="preserve">JNDI datasource references such as </w:t>
      </w:r>
      <w:r>
        <w:rPr>
          <w:rStyle w:val="VerbatimChar"/>
        </w:rPr>
        <w:t>jdbc/SIMOG</w:t>
      </w:r>
    </w:p>
    <w:p w14:paraId="7755068E" w14:textId="77777777" w:rsidR="00E42F0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ServletBase</w:t>
      </w:r>
      <w:r>
        <w:t xml:space="preserve"> and </w:t>
      </w:r>
      <w:r>
        <w:rPr>
          <w:rStyle w:val="VerbatimChar"/>
        </w:rPr>
        <w:t>ConnectionWSManager</w:t>
      </w:r>
      <w:r>
        <w:t xml:space="preserve"> datasource lookup logic</w:t>
      </w:r>
      <w:bookmarkEnd w:id="0"/>
      <w:bookmarkEnd w:id="9"/>
    </w:p>
    <w:sectPr w:rsidR="00E42F03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EA25" w14:textId="77777777" w:rsidR="00B256D5" w:rsidRDefault="00B256D5">
      <w:pPr>
        <w:spacing w:after="0"/>
      </w:pPr>
      <w:r>
        <w:separator/>
      </w:r>
    </w:p>
  </w:endnote>
  <w:endnote w:type="continuationSeparator" w:id="0">
    <w:p w14:paraId="4D3CF784" w14:textId="77777777" w:rsidR="00B256D5" w:rsidRDefault="00B256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33A6" w14:textId="77777777" w:rsidR="00B256D5" w:rsidRDefault="00B256D5">
      <w:r>
        <w:separator/>
      </w:r>
    </w:p>
  </w:footnote>
  <w:footnote w:type="continuationSeparator" w:id="0">
    <w:p w14:paraId="798042D5" w14:textId="77777777" w:rsidR="00B256D5" w:rsidRDefault="00B256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9EE8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25C55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43288564">
    <w:abstractNumId w:val="0"/>
  </w:num>
  <w:num w:numId="2" w16cid:durableId="1454136188">
    <w:abstractNumId w:val="1"/>
  </w:num>
  <w:num w:numId="3" w16cid:durableId="1019165683">
    <w:abstractNumId w:val="1"/>
  </w:num>
  <w:num w:numId="4" w16cid:durableId="289633896">
    <w:abstractNumId w:val="1"/>
  </w:num>
  <w:num w:numId="5" w16cid:durableId="648557852">
    <w:abstractNumId w:val="1"/>
  </w:num>
  <w:num w:numId="6" w16cid:durableId="1832981915">
    <w:abstractNumId w:val="1"/>
  </w:num>
  <w:num w:numId="7" w16cid:durableId="973100819">
    <w:abstractNumId w:val="1"/>
  </w:num>
  <w:num w:numId="8" w16cid:durableId="1259286757">
    <w:abstractNumId w:val="1"/>
  </w:num>
  <w:num w:numId="9" w16cid:durableId="1222131021">
    <w:abstractNumId w:val="1"/>
  </w:num>
  <w:num w:numId="10" w16cid:durableId="1851330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03"/>
    <w:rsid w:val="00007086"/>
    <w:rsid w:val="003C141E"/>
    <w:rsid w:val="00B256D5"/>
    <w:rsid w:val="00E4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6F5A8"/>
  <w15:docId w15:val="{0438FCA8-AE04-4A0A-BBBA-D54111C6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olo2">
    <w:name w:val="heading 2"/>
    <w:basedOn w:val="Normale"/>
    <w:next w:val="Corpotes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olo3">
    <w:name w:val="heading 3"/>
    <w:basedOn w:val="Normale"/>
    <w:next w:val="Corpotes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Corpotes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olo5">
    <w:name w:val="heading 5"/>
    <w:basedOn w:val="Normale"/>
    <w:next w:val="Corpotes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ttotitolo">
    <w:name w:val="Subtitle"/>
    <w:basedOn w:val="Titolo"/>
    <w:next w:val="Corpotes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4F81BD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Biancalana Claudio</dc:creator>
  <cp:keywords/>
  <cp:lastModifiedBy>Biancalana Claudio</cp:lastModifiedBy>
  <cp:revision>2</cp:revision>
  <dcterms:created xsi:type="dcterms:W3CDTF">2026-03-13T13:44:00Z</dcterms:created>
  <dcterms:modified xsi:type="dcterms:W3CDTF">2026-03-13T13:44:00Z</dcterms:modified>
</cp:coreProperties>
</file>